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02" w:rsidRPr="00C66D2A" w:rsidRDefault="001C2702" w:rsidP="00C66D2A">
      <w:pPr>
        <w:rPr>
          <w:rFonts w:ascii="Arial" w:hAnsi="Arial" w:cs="Arial"/>
        </w:rPr>
      </w:pPr>
      <w:bookmarkStart w:id="0" w:name="_GoBack"/>
      <w:bookmarkEnd w:id="0"/>
    </w:p>
    <w:p w:rsidR="0015295C" w:rsidRDefault="0015295C" w:rsidP="00C66D2A">
      <w:pPr>
        <w:rPr>
          <w:rFonts w:ascii="Arial" w:hAnsi="Arial" w:cs="Arial"/>
        </w:rPr>
      </w:pPr>
    </w:p>
    <w:p w:rsidR="004047C7" w:rsidRPr="00C66D2A" w:rsidRDefault="004047C7" w:rsidP="00C66D2A">
      <w:pPr>
        <w:rPr>
          <w:rFonts w:ascii="Arial" w:hAnsi="Arial" w:cs="Arial"/>
        </w:rPr>
      </w:pPr>
    </w:p>
    <w:p w:rsidR="00D073CB" w:rsidRDefault="001A4D91" w:rsidP="00973D15">
      <w:pPr>
        <w:rPr>
          <w:rFonts w:ascii="Arial" w:hAnsi="Arial" w:cs="Arial"/>
          <w:b/>
          <w:color w:val="E31837"/>
          <w:sz w:val="40"/>
          <w:szCs w:val="40"/>
        </w:rPr>
      </w:pPr>
      <w:r w:rsidRPr="001A4D91">
        <w:rPr>
          <w:rFonts w:ascii="Arial" w:hAnsi="Arial" w:cs="Arial"/>
          <w:b/>
          <w:color w:val="E31837"/>
          <w:sz w:val="40"/>
          <w:szCs w:val="40"/>
        </w:rPr>
        <w:t>INFORMACJA KWARTALNA O</w:t>
      </w:r>
      <w:r w:rsidR="00E86C32">
        <w:rPr>
          <w:rFonts w:ascii="Arial" w:hAnsi="Arial" w:cs="Arial"/>
          <w:b/>
          <w:color w:val="E31837"/>
          <w:sz w:val="40"/>
          <w:szCs w:val="40"/>
        </w:rPr>
        <w:t> </w:t>
      </w:r>
      <w:r w:rsidRPr="001A4D91">
        <w:rPr>
          <w:rFonts w:ascii="Arial" w:hAnsi="Arial" w:cs="Arial"/>
          <w:b/>
          <w:color w:val="E31837"/>
          <w:sz w:val="40"/>
          <w:szCs w:val="40"/>
        </w:rPr>
        <w:t xml:space="preserve">STANIE FINANSÓW PUBLICZNYCH </w:t>
      </w:r>
      <w:r w:rsidR="00D073CB">
        <w:rPr>
          <w:rFonts w:ascii="Arial" w:hAnsi="Arial" w:cs="Arial"/>
          <w:b/>
          <w:color w:val="E31837"/>
          <w:sz w:val="40"/>
          <w:szCs w:val="40"/>
        </w:rPr>
        <w:t>W I</w:t>
      </w:r>
      <w:r w:rsidR="00BC5828">
        <w:rPr>
          <w:rFonts w:ascii="Arial" w:hAnsi="Arial" w:cs="Arial"/>
          <w:b/>
          <w:color w:val="E31837"/>
          <w:sz w:val="40"/>
          <w:szCs w:val="40"/>
        </w:rPr>
        <w:t>V</w:t>
      </w:r>
      <w:r w:rsidR="00D073CB">
        <w:rPr>
          <w:rFonts w:ascii="Arial" w:hAnsi="Arial" w:cs="Arial"/>
          <w:b/>
          <w:color w:val="E31837"/>
          <w:sz w:val="40"/>
          <w:szCs w:val="40"/>
        </w:rPr>
        <w:t xml:space="preserve"> KWARTALE 201</w:t>
      </w:r>
      <w:r w:rsidR="007E1B4D">
        <w:rPr>
          <w:rFonts w:ascii="Arial" w:hAnsi="Arial" w:cs="Arial"/>
          <w:b/>
          <w:color w:val="E31837"/>
          <w:sz w:val="40"/>
          <w:szCs w:val="40"/>
        </w:rPr>
        <w:t>6</w:t>
      </w:r>
      <w:r w:rsidR="00D073CB">
        <w:rPr>
          <w:rFonts w:ascii="Arial" w:hAnsi="Arial" w:cs="Arial"/>
          <w:b/>
          <w:color w:val="E31837"/>
          <w:sz w:val="40"/>
          <w:szCs w:val="40"/>
        </w:rPr>
        <w:t xml:space="preserve"> r.</w:t>
      </w:r>
      <w:r w:rsidR="0026261D">
        <w:rPr>
          <w:rFonts w:ascii="Arial" w:hAnsi="Arial" w:cs="Arial"/>
          <w:b/>
          <w:color w:val="E31837"/>
          <w:sz w:val="40"/>
          <w:szCs w:val="40"/>
        </w:rPr>
        <w:t xml:space="preserve"> </w:t>
      </w:r>
      <w:r w:rsidR="005B557A">
        <w:rPr>
          <w:rFonts w:ascii="Arial" w:hAnsi="Arial" w:cs="Arial"/>
          <w:b/>
          <w:color w:val="E31837"/>
          <w:sz w:val="40"/>
          <w:szCs w:val="40"/>
        </w:rPr>
        <w:t>I W CAŁYM</w:t>
      </w:r>
      <w:r w:rsidR="007E1B4D">
        <w:rPr>
          <w:rFonts w:ascii="Arial" w:hAnsi="Arial" w:cs="Arial"/>
          <w:b/>
          <w:color w:val="E31837"/>
          <w:sz w:val="40"/>
          <w:szCs w:val="40"/>
        </w:rPr>
        <w:t xml:space="preserve"> 2016</w:t>
      </w:r>
      <w:r w:rsidR="0026261D">
        <w:rPr>
          <w:rFonts w:ascii="Arial" w:hAnsi="Arial" w:cs="Arial"/>
          <w:b/>
          <w:color w:val="E31837"/>
          <w:sz w:val="40"/>
          <w:szCs w:val="40"/>
        </w:rPr>
        <w:t xml:space="preserve"> r.</w:t>
      </w:r>
    </w:p>
    <w:p w:rsidR="00973D15" w:rsidRPr="00DD3527" w:rsidRDefault="00973D15" w:rsidP="00973D15">
      <w:pPr>
        <w:rPr>
          <w:rFonts w:ascii="Arial" w:hAnsi="Arial" w:cs="Arial"/>
          <w:b/>
          <w:color w:val="A6A6A6"/>
          <w:sz w:val="28"/>
          <w:szCs w:val="28"/>
        </w:rPr>
      </w:pPr>
      <w:r w:rsidRPr="00DD3527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7B0F5C">
        <w:rPr>
          <w:rFonts w:ascii="Arial" w:hAnsi="Arial" w:cs="Arial"/>
          <w:b/>
          <w:color w:val="A6A6A6"/>
          <w:sz w:val="28"/>
          <w:szCs w:val="28"/>
        </w:rPr>
        <w:t>2</w:t>
      </w:r>
      <w:r w:rsidRPr="00DD3527">
        <w:rPr>
          <w:rFonts w:ascii="Arial" w:hAnsi="Arial" w:cs="Arial"/>
          <w:b/>
          <w:color w:val="A6A6A6"/>
          <w:sz w:val="28"/>
          <w:szCs w:val="28"/>
        </w:rPr>
        <w:t xml:space="preserve"> </w:t>
      </w:r>
      <w:r w:rsidR="001A4D91" w:rsidRPr="00DD3527">
        <w:rPr>
          <w:rFonts w:ascii="Arial" w:hAnsi="Arial" w:cs="Arial"/>
          <w:b/>
          <w:color w:val="A6A6A6"/>
          <w:sz w:val="28"/>
          <w:szCs w:val="28"/>
        </w:rPr>
        <w:t>/</w:t>
      </w:r>
      <w:r w:rsidRPr="00DD3527">
        <w:rPr>
          <w:rFonts w:ascii="Arial" w:hAnsi="Arial" w:cs="Arial"/>
          <w:b/>
          <w:color w:val="A6A6A6"/>
          <w:sz w:val="28"/>
          <w:szCs w:val="28"/>
        </w:rPr>
        <w:t xml:space="preserve"> 20</w:t>
      </w:r>
      <w:r w:rsidR="001A4D91" w:rsidRPr="00DD3527">
        <w:rPr>
          <w:rFonts w:ascii="Arial" w:hAnsi="Arial" w:cs="Arial"/>
          <w:b/>
          <w:color w:val="A6A6A6"/>
          <w:sz w:val="28"/>
          <w:szCs w:val="28"/>
        </w:rPr>
        <w:t>1</w:t>
      </w:r>
      <w:r w:rsidR="007E1B4D">
        <w:rPr>
          <w:rFonts w:ascii="Arial" w:hAnsi="Arial" w:cs="Arial"/>
          <w:b/>
          <w:color w:val="A6A6A6"/>
          <w:sz w:val="28"/>
          <w:szCs w:val="28"/>
        </w:rPr>
        <w:t>7</w:t>
      </w:r>
    </w:p>
    <w:p w:rsidR="00E64CDB" w:rsidRDefault="00C66D2A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  <w:r w:rsidRPr="00E64CDB">
        <w:rPr>
          <w:rFonts w:ascii="Arial" w:hAnsi="Arial" w:cs="Arial"/>
          <w:color w:val="ADAFB2"/>
          <w:sz w:val="40"/>
          <w:szCs w:val="40"/>
        </w:rPr>
        <w:br/>
      </w:r>
    </w:p>
    <w:p w:rsidR="00E64CDB" w:rsidRPr="00562706" w:rsidRDefault="00E64CDB" w:rsidP="00C341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D80F1C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D80F1C">
        <w:rPr>
          <w:rFonts w:ascii="Arial" w:hAnsi="Arial" w:cs="Arial"/>
          <w:b/>
          <w:i/>
          <w:color w:val="ADAFB2"/>
          <w:sz w:val="24"/>
          <w:szCs w:val="24"/>
        </w:rPr>
        <w:t xml:space="preserve">Informacji </w:t>
      </w:r>
      <w:r w:rsidR="00594840" w:rsidRPr="00D80F1C">
        <w:rPr>
          <w:rFonts w:ascii="Arial" w:hAnsi="Arial" w:cs="Arial"/>
          <w:b/>
          <w:i/>
          <w:color w:val="ADAFB2"/>
          <w:sz w:val="24"/>
          <w:szCs w:val="24"/>
        </w:rPr>
        <w:t>kwartalnej</w:t>
      </w:r>
      <w:r w:rsidR="00594840" w:rsidRPr="00D80F1C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D80F1C">
        <w:rPr>
          <w:rFonts w:ascii="Arial" w:hAnsi="Arial" w:cs="Arial"/>
          <w:b/>
          <w:color w:val="ADAFB2"/>
          <w:sz w:val="24"/>
          <w:szCs w:val="24"/>
        </w:rPr>
        <w:t xml:space="preserve">jest zaprezentowanie dostępnych informacji na temat sektora </w:t>
      </w:r>
      <w:r w:rsidRPr="00562706">
        <w:rPr>
          <w:rFonts w:ascii="Arial" w:hAnsi="Arial" w:cs="Arial"/>
          <w:b/>
          <w:color w:val="ADAFB2"/>
          <w:sz w:val="24"/>
          <w:szCs w:val="24"/>
        </w:rPr>
        <w:t>finansów publicznych:</w:t>
      </w:r>
    </w:p>
    <w:p w:rsidR="00E64CDB" w:rsidRPr="00562706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62706">
        <w:rPr>
          <w:rFonts w:ascii="Arial" w:hAnsi="Arial" w:cs="Arial"/>
          <w:b/>
          <w:color w:val="ADAFB2"/>
          <w:sz w:val="24"/>
          <w:szCs w:val="24"/>
        </w:rPr>
        <w:t>•</w:t>
      </w:r>
      <w:r w:rsidRPr="00562706">
        <w:rPr>
          <w:rFonts w:ascii="Arial" w:hAnsi="Arial" w:cs="Arial"/>
          <w:b/>
          <w:color w:val="ADAFB2"/>
          <w:sz w:val="24"/>
          <w:szCs w:val="24"/>
        </w:rPr>
        <w:tab/>
        <w:t>według obowiązującego w Un</w:t>
      </w:r>
      <w:r w:rsidR="002A17A6" w:rsidRPr="00562706">
        <w:rPr>
          <w:rFonts w:ascii="Arial" w:hAnsi="Arial" w:cs="Arial"/>
          <w:b/>
          <w:color w:val="ADAFB2"/>
          <w:sz w:val="24"/>
          <w:szCs w:val="24"/>
        </w:rPr>
        <w:t>ii Europejskiej standardu ESA2010</w:t>
      </w:r>
      <w:r w:rsidRPr="00562706">
        <w:rPr>
          <w:rFonts w:ascii="Arial" w:hAnsi="Arial" w:cs="Arial"/>
          <w:b/>
          <w:color w:val="ADAFB2"/>
          <w:sz w:val="24"/>
          <w:szCs w:val="24"/>
        </w:rPr>
        <w:t xml:space="preserve"> (dane kwartalne obejmujące cały sektor instytucji rządowych i samorządowych),</w:t>
      </w:r>
    </w:p>
    <w:p w:rsidR="00E64CDB" w:rsidRPr="00562706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62706">
        <w:rPr>
          <w:rFonts w:ascii="Arial" w:hAnsi="Arial" w:cs="Arial"/>
          <w:b/>
          <w:color w:val="ADAFB2"/>
          <w:sz w:val="24"/>
          <w:szCs w:val="24"/>
        </w:rPr>
        <w:t>•</w:t>
      </w:r>
      <w:r w:rsidRPr="00562706">
        <w:rPr>
          <w:rFonts w:ascii="Arial" w:hAnsi="Arial" w:cs="Arial"/>
          <w:b/>
          <w:color w:val="ADAFB2"/>
          <w:sz w:val="24"/>
          <w:szCs w:val="24"/>
        </w:rPr>
        <w:tab/>
        <w:t xml:space="preserve">według standardu Międzynarodowego Funduszu Walutowego GFSM2001 (dane miesięczne obejmujące szczebel centralny, </w:t>
      </w:r>
      <w:r w:rsidR="00D023C3" w:rsidRPr="00562706">
        <w:rPr>
          <w:rFonts w:ascii="Arial" w:hAnsi="Arial" w:cs="Arial"/>
          <w:b/>
          <w:color w:val="ADAFB2"/>
          <w:sz w:val="24"/>
          <w:szCs w:val="24"/>
        </w:rPr>
        <w:t xml:space="preserve">natomiast </w:t>
      </w:r>
      <w:r w:rsidRPr="00562706">
        <w:rPr>
          <w:rFonts w:ascii="Arial" w:hAnsi="Arial" w:cs="Arial"/>
          <w:b/>
          <w:color w:val="ADAFB2"/>
          <w:sz w:val="24"/>
          <w:szCs w:val="24"/>
        </w:rPr>
        <w:t>dane roczne obejmujące cały sektor instytucji rządowych i samorządowych),</w:t>
      </w:r>
    </w:p>
    <w:p w:rsidR="00C66D2A" w:rsidRPr="00562706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62706">
        <w:rPr>
          <w:rFonts w:ascii="Arial" w:hAnsi="Arial" w:cs="Arial"/>
          <w:b/>
          <w:color w:val="ADAFB2"/>
          <w:sz w:val="24"/>
          <w:szCs w:val="24"/>
        </w:rPr>
        <w:t>•</w:t>
      </w:r>
      <w:r w:rsidRPr="00562706"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</w:t>
      </w:r>
      <w:r w:rsidR="00CA1B2C" w:rsidRPr="00562706">
        <w:rPr>
          <w:rFonts w:ascii="Arial" w:hAnsi="Arial" w:cs="Arial"/>
          <w:b/>
          <w:color w:val="ADAFB2"/>
          <w:sz w:val="24"/>
          <w:szCs w:val="24"/>
        </w:rPr>
        <w:t> </w:t>
      </w:r>
      <w:r w:rsidRPr="00562706">
        <w:rPr>
          <w:rFonts w:ascii="Arial" w:hAnsi="Arial" w:cs="Arial"/>
          <w:b/>
          <w:color w:val="ADAFB2"/>
          <w:sz w:val="24"/>
          <w:szCs w:val="24"/>
        </w:rPr>
        <w:t>budżecie państwa</w:t>
      </w:r>
      <w:r w:rsidR="001F2255" w:rsidRPr="00562706">
        <w:rPr>
          <w:rFonts w:ascii="Arial" w:hAnsi="Arial" w:cs="Arial"/>
          <w:b/>
          <w:color w:val="ADAFB2"/>
          <w:sz w:val="24"/>
          <w:szCs w:val="24"/>
        </w:rPr>
        <w:t xml:space="preserve">, Funduszu Ubezpieczeń Społecznych, Funduszu Emerytalno-Rentowym, Funduszu Pracy, Narodowym Funduszu </w:t>
      </w:r>
      <w:r w:rsidR="00562706">
        <w:rPr>
          <w:rFonts w:ascii="Arial" w:hAnsi="Arial" w:cs="Arial"/>
          <w:b/>
          <w:color w:val="ADAFB2"/>
          <w:sz w:val="24"/>
          <w:szCs w:val="24"/>
        </w:rPr>
        <w:t>Zdrowia</w:t>
      </w:r>
      <w:r w:rsidR="001F2255" w:rsidRPr="00562706">
        <w:rPr>
          <w:rFonts w:ascii="Arial" w:hAnsi="Arial" w:cs="Arial"/>
          <w:b/>
          <w:color w:val="ADAFB2"/>
          <w:sz w:val="24"/>
          <w:szCs w:val="24"/>
        </w:rPr>
        <w:t>)</w:t>
      </w:r>
      <w:r w:rsidRPr="00562706">
        <w:rPr>
          <w:rFonts w:ascii="Arial" w:hAnsi="Arial" w:cs="Arial"/>
          <w:b/>
          <w:color w:val="ADAFB2"/>
          <w:sz w:val="24"/>
          <w:szCs w:val="24"/>
        </w:rPr>
        <w:t>.</w:t>
      </w:r>
    </w:p>
    <w:p w:rsidR="00973D15" w:rsidRDefault="00973D15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64CDB" w:rsidRPr="00D80F1C" w:rsidRDefault="00E64CDB" w:rsidP="00DD7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D80F1C">
        <w:rPr>
          <w:rFonts w:ascii="Arial" w:hAnsi="Arial" w:cs="Arial"/>
          <w:b/>
          <w:color w:val="ADAFB2"/>
          <w:sz w:val="24"/>
          <w:szCs w:val="24"/>
        </w:rPr>
        <w:t xml:space="preserve">Departament Polityki </w:t>
      </w:r>
      <w:r w:rsidR="00C23366" w:rsidRPr="007A1D9D">
        <w:rPr>
          <w:rFonts w:ascii="Arial" w:hAnsi="Arial" w:cs="Arial"/>
          <w:b/>
          <w:color w:val="ADAFB2"/>
          <w:sz w:val="24"/>
          <w:szCs w:val="24"/>
        </w:rPr>
        <w:t>Makroekonomicznej</w:t>
      </w:r>
    </w:p>
    <w:p w:rsidR="00E210E5" w:rsidRDefault="00E64CDB" w:rsidP="00E2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D80F1C">
        <w:rPr>
          <w:rFonts w:ascii="Arial" w:hAnsi="Arial" w:cs="Arial"/>
          <w:b/>
          <w:color w:val="ADAFB2"/>
          <w:sz w:val="24"/>
          <w:szCs w:val="24"/>
        </w:rPr>
        <w:t>Departament Długu Publicznego</w:t>
      </w:r>
      <w:r w:rsidR="00E210E5" w:rsidRPr="00E210E5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5774A8" w:rsidRPr="00D023C3" w:rsidRDefault="005774A8" w:rsidP="00D023C3">
      <w:pPr>
        <w:widowControl w:val="0"/>
        <w:autoSpaceDE w:val="0"/>
        <w:autoSpaceDN w:val="0"/>
        <w:adjustRightInd w:val="0"/>
        <w:spacing w:after="28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  <w:sectPr w:rsidR="005774A8" w:rsidRPr="00D023C3" w:rsidSect="00EC4394">
          <w:footerReference w:type="default" r:id="rId9"/>
          <w:headerReference w:type="first" r:id="rId10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:rsidR="00594840" w:rsidRPr="00D80F1C" w:rsidRDefault="00594840" w:rsidP="0021419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D80F1C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Pr="00D073CB">
        <w:rPr>
          <w:rFonts w:ascii="Arial" w:hAnsi="Arial" w:cs="Arial"/>
          <w:b/>
          <w:color w:val="333333"/>
          <w:sz w:val="24"/>
          <w:szCs w:val="24"/>
        </w:rPr>
        <w:t>I</w:t>
      </w:r>
      <w:r w:rsidR="00BC5828">
        <w:rPr>
          <w:rFonts w:ascii="Arial" w:hAnsi="Arial" w:cs="Arial"/>
          <w:b/>
          <w:color w:val="333333"/>
          <w:sz w:val="24"/>
          <w:szCs w:val="24"/>
        </w:rPr>
        <w:t>V</w:t>
      </w:r>
      <w:r w:rsidR="0009641C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D073CB">
        <w:rPr>
          <w:rFonts w:ascii="Arial" w:hAnsi="Arial" w:cs="Arial"/>
          <w:b/>
          <w:color w:val="333333"/>
          <w:sz w:val="24"/>
          <w:szCs w:val="24"/>
        </w:rPr>
        <w:t xml:space="preserve">kwartału </w:t>
      </w:r>
      <w:r w:rsidR="00BC5828">
        <w:rPr>
          <w:rFonts w:ascii="Arial" w:hAnsi="Arial" w:cs="Arial"/>
          <w:b/>
          <w:color w:val="333333"/>
          <w:sz w:val="24"/>
          <w:szCs w:val="24"/>
        </w:rPr>
        <w:t xml:space="preserve">oraz całego </w:t>
      </w:r>
      <w:r w:rsidRPr="00D073CB">
        <w:rPr>
          <w:rFonts w:ascii="Arial" w:hAnsi="Arial" w:cs="Arial"/>
          <w:b/>
          <w:color w:val="333333"/>
          <w:sz w:val="24"/>
          <w:szCs w:val="24"/>
        </w:rPr>
        <w:t>201</w:t>
      </w:r>
      <w:r w:rsidR="00476B67">
        <w:rPr>
          <w:rFonts w:ascii="Arial" w:hAnsi="Arial" w:cs="Arial"/>
          <w:b/>
          <w:color w:val="333333"/>
          <w:sz w:val="24"/>
          <w:szCs w:val="24"/>
        </w:rPr>
        <w:t>6</w:t>
      </w:r>
      <w:r w:rsidR="00C23366">
        <w:rPr>
          <w:rFonts w:ascii="Arial" w:hAnsi="Arial" w:cs="Arial"/>
          <w:b/>
          <w:color w:val="333333"/>
          <w:sz w:val="24"/>
          <w:szCs w:val="24"/>
        </w:rPr>
        <w:t> r</w:t>
      </w:r>
      <w:r w:rsidR="0009641C">
        <w:rPr>
          <w:rFonts w:ascii="Arial" w:hAnsi="Arial" w:cs="Arial"/>
          <w:b/>
          <w:color w:val="333333"/>
          <w:sz w:val="24"/>
          <w:szCs w:val="24"/>
        </w:rPr>
        <w:t>.</w:t>
      </w:r>
      <w:r w:rsidRPr="00D80F1C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8101FD" w:rsidRDefault="008101F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E210E5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E210E5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E210E5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690F9E" w:rsidRDefault="00690F9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E210E5" w:rsidRDefault="00E210E5" w:rsidP="0059484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>
        <w:rPr>
          <w:rFonts w:ascii="Arial" w:hAnsi="Arial" w:cs="Arial"/>
          <w:b/>
          <w:color w:val="E31837"/>
          <w:sz w:val="28"/>
          <w:szCs w:val="28"/>
        </w:rPr>
        <w:t xml:space="preserve">Podstawowe wskaźniki stanu </w:t>
      </w:r>
      <w:r w:rsidRPr="00E210E5">
        <w:rPr>
          <w:rFonts w:ascii="Arial" w:hAnsi="Arial" w:cs="Arial"/>
          <w:b/>
          <w:color w:val="E31837"/>
          <w:sz w:val="28"/>
          <w:szCs w:val="28"/>
        </w:rPr>
        <w:t>sektora instytucji rządowych i samorzą</w:t>
      </w:r>
      <w:r w:rsidRPr="009D4E91">
        <w:rPr>
          <w:rFonts w:ascii="Arial" w:hAnsi="Arial" w:cs="Arial"/>
          <w:b/>
          <w:color w:val="E31837"/>
          <w:sz w:val="28"/>
          <w:szCs w:val="28"/>
        </w:rPr>
        <w:t>do</w:t>
      </w:r>
      <w:r w:rsidR="00BC5828">
        <w:rPr>
          <w:rFonts w:ascii="Arial" w:hAnsi="Arial" w:cs="Arial"/>
          <w:b/>
          <w:color w:val="E31837"/>
          <w:sz w:val="28"/>
          <w:szCs w:val="28"/>
        </w:rPr>
        <w:t xml:space="preserve">wych wg ESA2010 w </w:t>
      </w:r>
      <w:r w:rsidRPr="00E210E5">
        <w:rPr>
          <w:rFonts w:ascii="Arial" w:hAnsi="Arial" w:cs="Arial"/>
          <w:b/>
          <w:color w:val="E31837"/>
          <w:sz w:val="28"/>
          <w:szCs w:val="28"/>
        </w:rPr>
        <w:t>I</w:t>
      </w:r>
      <w:r w:rsidR="00BC5828">
        <w:rPr>
          <w:rFonts w:ascii="Arial" w:hAnsi="Arial" w:cs="Arial"/>
          <w:b/>
          <w:color w:val="E31837"/>
          <w:sz w:val="28"/>
          <w:szCs w:val="28"/>
        </w:rPr>
        <w:t>V</w:t>
      </w:r>
      <w:r w:rsidRPr="00E210E5">
        <w:rPr>
          <w:rFonts w:ascii="Arial" w:hAnsi="Arial" w:cs="Arial"/>
          <w:b/>
          <w:color w:val="E31837"/>
          <w:sz w:val="28"/>
          <w:szCs w:val="28"/>
        </w:rPr>
        <w:t xml:space="preserve"> kw. </w:t>
      </w:r>
      <w:r w:rsidR="00BC5828">
        <w:rPr>
          <w:rFonts w:ascii="Arial" w:hAnsi="Arial" w:cs="Arial"/>
          <w:b/>
          <w:color w:val="E31837"/>
          <w:sz w:val="28"/>
          <w:szCs w:val="28"/>
        </w:rPr>
        <w:t xml:space="preserve">i </w:t>
      </w:r>
      <w:r w:rsidR="00DD0F06">
        <w:rPr>
          <w:rFonts w:ascii="Arial" w:hAnsi="Arial" w:cs="Arial"/>
          <w:b/>
          <w:color w:val="E31837"/>
          <w:sz w:val="28"/>
          <w:szCs w:val="28"/>
        </w:rPr>
        <w:t xml:space="preserve">w </w:t>
      </w:r>
      <w:r w:rsidR="00BC5828">
        <w:rPr>
          <w:rFonts w:ascii="Arial" w:hAnsi="Arial" w:cs="Arial"/>
          <w:b/>
          <w:color w:val="E31837"/>
          <w:sz w:val="28"/>
          <w:szCs w:val="28"/>
        </w:rPr>
        <w:t xml:space="preserve">całym </w:t>
      </w:r>
      <w:r w:rsidR="007E1B4D">
        <w:rPr>
          <w:rFonts w:ascii="Arial" w:hAnsi="Arial" w:cs="Arial"/>
          <w:b/>
          <w:color w:val="E31837"/>
          <w:sz w:val="28"/>
          <w:szCs w:val="28"/>
        </w:rPr>
        <w:t>2016</w:t>
      </w:r>
      <w:r w:rsidRPr="00E210E5">
        <w:rPr>
          <w:rFonts w:ascii="Arial" w:hAnsi="Arial" w:cs="Arial"/>
          <w:b/>
          <w:color w:val="E31837"/>
          <w:sz w:val="28"/>
          <w:szCs w:val="28"/>
        </w:rPr>
        <w:t> r.</w:t>
      </w:r>
    </w:p>
    <w:p w:rsidR="00E210E5" w:rsidRDefault="00E210E5" w:rsidP="002E22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7A1D9D">
        <w:rPr>
          <w:rFonts w:ascii="Arial" w:hAnsi="Arial" w:cs="Arial"/>
          <w:b/>
          <w:color w:val="ADAFB2"/>
          <w:sz w:val="24"/>
          <w:szCs w:val="24"/>
        </w:rPr>
        <w:t>Wynik</w:t>
      </w:r>
      <w:r w:rsidRPr="00E210E5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="00BC5828">
        <w:rPr>
          <w:rFonts w:ascii="Arial" w:hAnsi="Arial" w:cs="Arial"/>
          <w:b/>
          <w:color w:val="ADAFB2"/>
          <w:sz w:val="24"/>
          <w:szCs w:val="24"/>
        </w:rPr>
        <w:t xml:space="preserve">w IV kw. </w:t>
      </w:r>
      <w:r w:rsidRPr="00E210E5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7E1B4D">
        <w:rPr>
          <w:rFonts w:ascii="Arial" w:hAnsi="Arial" w:cs="Arial"/>
          <w:b/>
          <w:color w:val="E31837"/>
          <w:sz w:val="24"/>
          <w:szCs w:val="24"/>
        </w:rPr>
        <w:t>-2</w:t>
      </w:r>
      <w:r w:rsidR="00507ADE">
        <w:rPr>
          <w:rFonts w:ascii="Arial" w:hAnsi="Arial" w:cs="Arial"/>
          <w:b/>
          <w:color w:val="E31837"/>
          <w:sz w:val="24"/>
          <w:szCs w:val="24"/>
        </w:rPr>
        <w:t>6</w:t>
      </w:r>
      <w:r w:rsidR="007E1B4D">
        <w:rPr>
          <w:rFonts w:ascii="Arial" w:hAnsi="Arial" w:cs="Arial"/>
          <w:b/>
          <w:color w:val="E31837"/>
          <w:sz w:val="24"/>
          <w:szCs w:val="24"/>
        </w:rPr>
        <w:t>,</w:t>
      </w:r>
      <w:r w:rsidR="00507ADE">
        <w:rPr>
          <w:rFonts w:ascii="Arial" w:hAnsi="Arial" w:cs="Arial"/>
          <w:b/>
          <w:color w:val="E31837"/>
          <w:sz w:val="24"/>
          <w:szCs w:val="24"/>
        </w:rPr>
        <w:t>1</w:t>
      </w:r>
      <w:r w:rsidR="007E1B4D">
        <w:rPr>
          <w:rFonts w:ascii="Arial" w:hAnsi="Arial" w:cs="Arial"/>
          <w:b/>
          <w:color w:val="E31837"/>
          <w:sz w:val="24"/>
          <w:szCs w:val="24"/>
        </w:rPr>
        <w:t xml:space="preserve"> mld zł (-</w:t>
      </w:r>
      <w:r w:rsidR="00507ADE">
        <w:rPr>
          <w:rFonts w:ascii="Arial" w:hAnsi="Arial" w:cs="Arial"/>
          <w:b/>
          <w:color w:val="E31837"/>
          <w:sz w:val="24"/>
          <w:szCs w:val="24"/>
        </w:rPr>
        <w:t>5,0</w:t>
      </w:r>
      <w:r w:rsidR="002E22EC" w:rsidRPr="002E22EC">
        <w:rPr>
          <w:rFonts w:ascii="Arial" w:hAnsi="Arial" w:cs="Arial"/>
          <w:b/>
          <w:color w:val="E31837"/>
          <w:sz w:val="24"/>
          <w:szCs w:val="24"/>
        </w:rPr>
        <w:t xml:space="preserve"> %PKB)</w:t>
      </w:r>
    </w:p>
    <w:p w:rsidR="00BC5828" w:rsidRPr="00BC5828" w:rsidRDefault="00BC5828" w:rsidP="002E22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BC5828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7E1B4D">
        <w:rPr>
          <w:rFonts w:ascii="Arial" w:hAnsi="Arial" w:cs="Arial"/>
          <w:b/>
          <w:color w:val="ADAFB2"/>
          <w:sz w:val="24"/>
          <w:szCs w:val="24"/>
        </w:rPr>
        <w:t>w 2016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r</w:t>
      </w:r>
      <w:r w:rsidR="007E52CD">
        <w:rPr>
          <w:rFonts w:ascii="Arial" w:hAnsi="Arial" w:cs="Arial"/>
          <w:b/>
          <w:color w:val="ADAFB2"/>
          <w:sz w:val="24"/>
          <w:szCs w:val="24"/>
        </w:rPr>
        <w:t>.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BC5828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2E22EC" w:rsidRPr="007B0F5C">
        <w:rPr>
          <w:rFonts w:ascii="Arial" w:hAnsi="Arial" w:cs="Arial"/>
          <w:b/>
          <w:color w:val="E31837"/>
          <w:sz w:val="24"/>
          <w:szCs w:val="24"/>
        </w:rPr>
        <w:t>-</w:t>
      </w:r>
      <w:r w:rsidR="007E1B4D">
        <w:rPr>
          <w:rFonts w:ascii="Arial" w:hAnsi="Arial" w:cs="Arial"/>
          <w:b/>
          <w:color w:val="E31837"/>
          <w:sz w:val="24"/>
          <w:szCs w:val="24"/>
        </w:rPr>
        <w:t>44,7</w:t>
      </w:r>
      <w:r w:rsidR="002E22EC" w:rsidRPr="002E22EC">
        <w:rPr>
          <w:rFonts w:ascii="Arial" w:hAnsi="Arial" w:cs="Arial"/>
          <w:b/>
          <w:color w:val="E31837"/>
          <w:sz w:val="24"/>
          <w:szCs w:val="24"/>
        </w:rPr>
        <w:t xml:space="preserve"> mld zł </w:t>
      </w:r>
      <w:r w:rsidR="002E22EC">
        <w:rPr>
          <w:rFonts w:ascii="Arial" w:hAnsi="Arial" w:cs="Arial"/>
          <w:b/>
          <w:color w:val="E31837"/>
          <w:sz w:val="24"/>
          <w:szCs w:val="24"/>
        </w:rPr>
        <w:t>(</w:t>
      </w:r>
      <w:r w:rsidR="007E52CD">
        <w:rPr>
          <w:rFonts w:ascii="Arial" w:hAnsi="Arial" w:cs="Arial"/>
          <w:b/>
          <w:color w:val="E31837"/>
          <w:sz w:val="24"/>
          <w:szCs w:val="24"/>
        </w:rPr>
        <w:t>-</w:t>
      </w:r>
      <w:r w:rsidR="007E1B4D">
        <w:rPr>
          <w:rFonts w:ascii="Arial" w:hAnsi="Arial" w:cs="Arial"/>
          <w:b/>
          <w:color w:val="E31837"/>
          <w:sz w:val="24"/>
          <w:szCs w:val="24"/>
        </w:rPr>
        <w:t>2,4</w:t>
      </w:r>
      <w:r w:rsidR="002E22EC">
        <w:rPr>
          <w:rFonts w:ascii="Arial" w:hAnsi="Arial" w:cs="Arial"/>
          <w:b/>
          <w:color w:val="E31837"/>
          <w:sz w:val="24"/>
          <w:szCs w:val="24"/>
        </w:rPr>
        <w:t>% PKB)</w:t>
      </w:r>
    </w:p>
    <w:p w:rsidR="00E210E5" w:rsidRPr="00D55FD4" w:rsidRDefault="003F725B" w:rsidP="00C102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Dł</w:t>
      </w:r>
      <w:r w:rsidR="00E210E5" w:rsidRPr="00D55FD4">
        <w:rPr>
          <w:rFonts w:ascii="Arial" w:hAnsi="Arial" w:cs="Arial"/>
          <w:b/>
          <w:color w:val="ADAFB2"/>
          <w:sz w:val="24"/>
          <w:szCs w:val="24"/>
        </w:rPr>
        <w:t xml:space="preserve">ug EDP </w:t>
      </w:r>
      <w:r w:rsidR="00A700BC" w:rsidRPr="00D55FD4">
        <w:rPr>
          <w:rFonts w:ascii="Arial" w:hAnsi="Arial" w:cs="Arial"/>
          <w:b/>
          <w:color w:val="ADAFB2"/>
          <w:sz w:val="24"/>
          <w:szCs w:val="24"/>
        </w:rPr>
        <w:t>na koniec 201</w:t>
      </w:r>
      <w:r w:rsidR="00757169">
        <w:rPr>
          <w:rFonts w:ascii="Arial" w:hAnsi="Arial" w:cs="Arial"/>
          <w:b/>
          <w:color w:val="ADAFB2"/>
          <w:sz w:val="24"/>
          <w:szCs w:val="24"/>
        </w:rPr>
        <w:t>6</w:t>
      </w:r>
      <w:r w:rsidR="00A700BC" w:rsidRPr="00D55FD4">
        <w:rPr>
          <w:rFonts w:ascii="Arial" w:hAnsi="Arial" w:cs="Arial"/>
          <w:b/>
          <w:color w:val="ADAFB2"/>
          <w:sz w:val="24"/>
          <w:szCs w:val="24"/>
        </w:rPr>
        <w:t xml:space="preserve"> r. </w:t>
      </w:r>
      <w:r w:rsidR="00E210E5" w:rsidRPr="00D55FD4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D55FD4" w:rsidRPr="00D55FD4">
        <w:rPr>
          <w:rFonts w:ascii="Arial" w:hAnsi="Arial" w:cs="Arial"/>
          <w:b/>
          <w:color w:val="E31837"/>
          <w:sz w:val="24"/>
          <w:szCs w:val="24"/>
        </w:rPr>
        <w:t>1.006,3 mld zł (54,</w:t>
      </w:r>
      <w:r w:rsidR="00507ADE">
        <w:rPr>
          <w:rFonts w:ascii="Arial" w:hAnsi="Arial" w:cs="Arial"/>
          <w:b/>
          <w:color w:val="E31837"/>
          <w:sz w:val="24"/>
          <w:szCs w:val="24"/>
        </w:rPr>
        <w:t>3</w:t>
      </w:r>
      <w:r w:rsidR="00C102A9" w:rsidRPr="00D55FD4">
        <w:rPr>
          <w:rFonts w:ascii="Arial" w:hAnsi="Arial" w:cs="Arial"/>
          <w:b/>
          <w:color w:val="E31837"/>
          <w:sz w:val="24"/>
          <w:szCs w:val="24"/>
        </w:rPr>
        <w:t>% PKB)</w:t>
      </w:r>
    </w:p>
    <w:p w:rsidR="003E0424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E210E5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3E0424" w:rsidRDefault="00594840" w:rsidP="00D80F1C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</w:rPr>
      </w:pPr>
      <w:r w:rsidRPr="00D80F1C">
        <w:rPr>
          <w:rFonts w:ascii="Arial" w:hAnsi="Arial" w:cs="Arial"/>
          <w:b/>
          <w:color w:val="ADAFB2"/>
          <w:sz w:val="20"/>
          <w:szCs w:val="20"/>
        </w:rPr>
        <w:t>Niniejszy materiał został opracowany wyłącznie w celach informacyjnych i</w:t>
      </w:r>
      <w:r w:rsidR="00CA1B2C">
        <w:rPr>
          <w:rFonts w:ascii="Arial" w:hAnsi="Arial" w:cs="Arial"/>
          <w:b/>
          <w:color w:val="ADAFB2"/>
          <w:sz w:val="20"/>
          <w:szCs w:val="20"/>
        </w:rPr>
        <w:t> </w:t>
      </w:r>
      <w:r w:rsidRPr="00D80F1C">
        <w:rPr>
          <w:rFonts w:ascii="Arial" w:hAnsi="Arial" w:cs="Arial"/>
          <w:b/>
          <w:color w:val="ADAFB2"/>
          <w:sz w:val="20"/>
          <w:szCs w:val="20"/>
        </w:rPr>
        <w:t>nie może być traktowany jako oferta lub rekomendacja do zawierania jakichkolwiek transakcji. Informacje zawarte w materiale pochodzą z</w:t>
      </w:r>
      <w:r w:rsidR="00CA1B2C">
        <w:rPr>
          <w:rFonts w:ascii="Arial" w:hAnsi="Arial" w:cs="Arial"/>
          <w:b/>
          <w:color w:val="ADAFB2"/>
          <w:sz w:val="20"/>
          <w:szCs w:val="20"/>
        </w:rPr>
        <w:t> </w:t>
      </w:r>
      <w:r w:rsidRPr="00D80F1C">
        <w:rPr>
          <w:rFonts w:ascii="Arial" w:hAnsi="Arial" w:cs="Arial"/>
          <w:b/>
          <w:color w:val="ADAFB2"/>
          <w:sz w:val="20"/>
          <w:szCs w:val="20"/>
        </w:rPr>
        <w:t>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D80F1C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5725A7" w:rsidRDefault="005725A7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  <w:sectPr w:rsidR="005725A7" w:rsidSect="00EC4394">
          <w:footerReference w:type="first" r:id="rId11"/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E0424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BF757A" w:rsidRDefault="00BF757A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DE5957" w:rsidRPr="00D80F1C" w:rsidRDefault="00DE5957" w:rsidP="00DE5957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D80F1C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:rsidR="005C5661" w:rsidRPr="005C5661" w:rsidRDefault="00A3676D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 w:rsidRPr="003262D7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3262D7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3262D7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484006829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IV kw. 2016 r.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_Toc484006829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30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_Toc484006830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31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_Toc484006831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32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_Toc484006832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5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33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2. Wynik, dochody oraz wydatki w 2016 r.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_Toc484006833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6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34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2.1. Wynik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_Toc484006834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6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35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2.2. Dochody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_Toc484006835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6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36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2.3. Wydatki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_Toc484006836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37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3. Dług publiczny oraz potrzeby pożyczkowe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_Toc484006837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38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3.1. Dług sektora instytucji rządowych i samorządowych (wg definicji UE)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_Toc484006838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39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3.2. Potrzeby pożyczkowe budżetu państwa  i ich finansowanie w IV kwartale 2016 r.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_Toc484006839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40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_Toc484006840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11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5C5661" w:rsidRPr="005C5661" w:rsidRDefault="00C41A02" w:rsidP="005C566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84006841" w:history="1">
        <w:r w:rsidR="005C5661" w:rsidRPr="005C5661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_Toc484006841 \h </w:instrTex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FF50DE">
          <w:rPr>
            <w:rStyle w:val="Hipercze"/>
            <w:rFonts w:ascii="Arial" w:hAnsi="Arial" w:cs="Arial"/>
            <w:b/>
            <w:noProof/>
            <w:webHidden/>
            <w:color w:val="ADAFB2"/>
          </w:rPr>
          <w:t>12</w:t>
        </w:r>
        <w:r w:rsidR="005C5661" w:rsidRPr="005C566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A3676D" w:rsidRPr="00D0426F" w:rsidRDefault="00A3676D" w:rsidP="00D0426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r w:rsidRPr="003262D7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:rsidR="003A6FCB" w:rsidRPr="003A6FCB" w:rsidRDefault="003A6FCB" w:rsidP="003A6FCB">
      <w:pPr>
        <w:pStyle w:val="Spistreci1"/>
        <w:tabs>
          <w:tab w:val="right" w:leader="dot" w:pos="7219"/>
        </w:tabs>
        <w:spacing w:after="120"/>
        <w:rPr>
          <w:noProof/>
          <w:lang w:eastAsia="pl-PL"/>
        </w:rPr>
      </w:pPr>
    </w:p>
    <w:p w:rsidR="003A6FCB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</w:rPr>
      </w:pPr>
    </w:p>
    <w:p w:rsidR="003A6FCB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</w:rPr>
      </w:pPr>
    </w:p>
    <w:p w:rsidR="003A6FCB" w:rsidRPr="00B9273E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</w:rPr>
      </w:pPr>
    </w:p>
    <w:p w:rsidR="00157279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157279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  <w:sectPr w:rsidR="00157279" w:rsidSect="00EC4394"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1062E" w:rsidRPr="007A1D9D" w:rsidRDefault="0031062E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1" w:name="_Toc484006829"/>
      <w:r w:rsidRPr="007A1D9D">
        <w:rPr>
          <w:rFonts w:ascii="Arial" w:hAnsi="Arial" w:cs="Arial"/>
          <w:color w:val="ADAFB2"/>
          <w:sz w:val="28"/>
          <w:szCs w:val="28"/>
        </w:rPr>
        <w:lastRenderedPageBreak/>
        <w:t>1.</w:t>
      </w:r>
      <w:r w:rsidR="00EC0826" w:rsidRPr="007A1D9D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>
        <w:rPr>
          <w:rFonts w:ascii="Arial" w:hAnsi="Arial" w:cs="Arial"/>
          <w:color w:val="ADAFB2"/>
          <w:sz w:val="28"/>
          <w:szCs w:val="28"/>
        </w:rPr>
        <w:t>Wynik, d</w:t>
      </w:r>
      <w:r w:rsidR="000A6CA0" w:rsidRPr="007A1D9D">
        <w:rPr>
          <w:rFonts w:ascii="Arial" w:hAnsi="Arial" w:cs="Arial"/>
          <w:color w:val="ADAFB2"/>
          <w:sz w:val="28"/>
          <w:szCs w:val="28"/>
        </w:rPr>
        <w:t>ochody</w:t>
      </w:r>
      <w:r w:rsidR="00730D3C">
        <w:rPr>
          <w:rFonts w:ascii="Arial" w:hAnsi="Arial" w:cs="Arial"/>
          <w:color w:val="ADAFB2"/>
          <w:sz w:val="28"/>
          <w:szCs w:val="28"/>
        </w:rPr>
        <w:t xml:space="preserve"> oraz</w:t>
      </w:r>
      <w:r w:rsidR="00E65258" w:rsidRPr="007A1D9D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101324">
        <w:rPr>
          <w:rFonts w:ascii="Arial" w:hAnsi="Arial" w:cs="Arial"/>
          <w:color w:val="ADAFB2"/>
          <w:sz w:val="28"/>
          <w:szCs w:val="28"/>
        </w:rPr>
        <w:t>w IV kw.</w:t>
      </w:r>
      <w:r w:rsidR="000A6CA0" w:rsidRPr="007A1D9D">
        <w:rPr>
          <w:rFonts w:ascii="Arial" w:hAnsi="Arial" w:cs="Arial"/>
          <w:color w:val="ADAFB2"/>
          <w:sz w:val="28"/>
          <w:szCs w:val="28"/>
        </w:rPr>
        <w:t xml:space="preserve"> </w:t>
      </w:r>
      <w:r w:rsidR="0085795C">
        <w:rPr>
          <w:rFonts w:ascii="Arial" w:hAnsi="Arial" w:cs="Arial"/>
          <w:color w:val="ADAFB2"/>
          <w:sz w:val="28"/>
          <w:szCs w:val="28"/>
        </w:rPr>
        <w:t>2016</w:t>
      </w:r>
      <w:r w:rsidR="00730D3C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1"/>
    </w:p>
    <w:p w:rsidR="006A5483" w:rsidRDefault="006A5483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Poniżej przedstawione zostały </w:t>
      </w:r>
      <w:r w:rsidR="009D4E91">
        <w:rPr>
          <w:rFonts w:ascii="Times New Roman" w:hAnsi="Times New Roman"/>
          <w:bCs/>
          <w:sz w:val="20"/>
          <w:szCs w:val="20"/>
        </w:rPr>
        <w:t>podstawow</w:t>
      </w:r>
      <w:r>
        <w:rPr>
          <w:rFonts w:ascii="Times New Roman" w:hAnsi="Times New Roman"/>
          <w:bCs/>
          <w:sz w:val="20"/>
          <w:szCs w:val="20"/>
        </w:rPr>
        <w:t>e informacje na temat sytua</w:t>
      </w:r>
      <w:r w:rsidR="00BC5828">
        <w:rPr>
          <w:rFonts w:ascii="Times New Roman" w:hAnsi="Times New Roman"/>
          <w:bCs/>
          <w:sz w:val="20"/>
          <w:szCs w:val="20"/>
        </w:rPr>
        <w:t>cji w finansach publicznych w IV</w:t>
      </w:r>
      <w:r w:rsidR="0085795C">
        <w:rPr>
          <w:rFonts w:ascii="Times New Roman" w:hAnsi="Times New Roman"/>
          <w:bCs/>
          <w:sz w:val="20"/>
          <w:szCs w:val="20"/>
        </w:rPr>
        <w:t xml:space="preserve"> kw. 2016</w:t>
      </w:r>
      <w:r>
        <w:rPr>
          <w:rFonts w:ascii="Times New Roman" w:hAnsi="Times New Roman"/>
          <w:bCs/>
          <w:sz w:val="20"/>
          <w:szCs w:val="20"/>
        </w:rPr>
        <w:t xml:space="preserve"> roku</w:t>
      </w:r>
      <w:r w:rsidR="0072464B">
        <w:rPr>
          <w:rFonts w:ascii="Times New Roman" w:hAnsi="Times New Roman"/>
          <w:bCs/>
          <w:sz w:val="20"/>
          <w:szCs w:val="20"/>
        </w:rPr>
        <w:t>.</w:t>
      </w:r>
    </w:p>
    <w:p w:rsidR="00D55ED6" w:rsidRPr="008F62F1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484006830"/>
      <w:r>
        <w:rPr>
          <w:rFonts w:ascii="Arial" w:hAnsi="Arial" w:cs="Arial"/>
          <w:i w:val="0"/>
          <w:color w:val="E31837"/>
          <w:sz w:val="20"/>
          <w:szCs w:val="20"/>
        </w:rPr>
        <w:t>1.1</w:t>
      </w:r>
      <w:r w:rsidRPr="008F62F1">
        <w:rPr>
          <w:rFonts w:ascii="Arial" w:hAnsi="Arial" w:cs="Arial"/>
          <w:i w:val="0"/>
          <w:color w:val="E31837"/>
          <w:sz w:val="20"/>
          <w:szCs w:val="20"/>
        </w:rPr>
        <w:t>. Wynik</w:t>
      </w:r>
      <w:bookmarkEnd w:id="2"/>
      <w:r w:rsidRPr="008F62F1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D55ED6" w:rsidRDefault="00D55ED6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8F62F1">
        <w:rPr>
          <w:rFonts w:ascii="Times New Roman" w:hAnsi="Times New Roman" w:cs="Arial"/>
          <w:sz w:val="20"/>
          <w:szCs w:val="20"/>
        </w:rPr>
        <w:t xml:space="preserve">Wynik </w:t>
      </w:r>
      <w:r>
        <w:rPr>
          <w:rFonts w:ascii="Times New Roman" w:hAnsi="Times New Roman" w:cs="Arial"/>
          <w:sz w:val="20"/>
          <w:szCs w:val="20"/>
        </w:rPr>
        <w:t xml:space="preserve">sektora instytucji rządowych i samorządowych </w:t>
      </w:r>
      <w:r w:rsidRPr="00292DA1">
        <w:rPr>
          <w:rFonts w:ascii="Times New Roman" w:hAnsi="Times New Roman" w:cs="Arial"/>
          <w:sz w:val="20"/>
          <w:szCs w:val="20"/>
        </w:rPr>
        <w:t>w I</w:t>
      </w:r>
      <w:r>
        <w:rPr>
          <w:rFonts w:ascii="Times New Roman" w:hAnsi="Times New Roman" w:cs="Arial"/>
          <w:sz w:val="20"/>
          <w:szCs w:val="20"/>
        </w:rPr>
        <w:t>V kw. 20</w:t>
      </w:r>
      <w:r w:rsidR="0085795C">
        <w:rPr>
          <w:rFonts w:ascii="Times New Roman" w:hAnsi="Times New Roman" w:cs="Arial"/>
          <w:sz w:val="20"/>
          <w:szCs w:val="20"/>
        </w:rPr>
        <w:t>16</w:t>
      </w:r>
      <w:r w:rsidRPr="00292DA1">
        <w:rPr>
          <w:rFonts w:ascii="Times New Roman" w:hAnsi="Times New Roman" w:cs="Arial"/>
          <w:sz w:val="20"/>
          <w:szCs w:val="20"/>
        </w:rPr>
        <w:t xml:space="preserve"> r. wyniósł </w:t>
      </w:r>
      <w:r w:rsidR="0085795C">
        <w:rPr>
          <w:rFonts w:ascii="Times New Roman" w:hAnsi="Times New Roman" w:cs="Arial"/>
          <w:sz w:val="20"/>
          <w:szCs w:val="20"/>
        </w:rPr>
        <w:t>-25,6</w:t>
      </w:r>
      <w:r w:rsidRPr="00292DA1">
        <w:rPr>
          <w:rFonts w:ascii="Times New Roman" w:hAnsi="Times New Roman" w:cs="Arial"/>
          <w:sz w:val="20"/>
          <w:szCs w:val="20"/>
        </w:rPr>
        <w:t xml:space="preserve"> mld zł</w:t>
      </w:r>
      <w:r w:rsidR="0085795C">
        <w:rPr>
          <w:rFonts w:ascii="Times New Roman" w:hAnsi="Times New Roman" w:cs="Arial"/>
          <w:sz w:val="20"/>
          <w:szCs w:val="20"/>
        </w:rPr>
        <w:t xml:space="preserve"> (-4,9 %PKB),  a wynik pierwotny -17,6 mld zł (-3,4</w:t>
      </w:r>
      <w:r>
        <w:rPr>
          <w:rFonts w:ascii="Times New Roman" w:hAnsi="Times New Roman" w:cs="Arial"/>
          <w:sz w:val="20"/>
          <w:szCs w:val="20"/>
        </w:rPr>
        <w:t xml:space="preserve"> %PKB).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ED6" w:rsidRPr="007F78EA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55ED6" w:rsidRPr="007F78EA" w:rsidRDefault="00D55ED6" w:rsidP="00415A43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7A1D9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7A1D9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. </w:t>
            </w:r>
            <w:r w:rsidRPr="00C62B0C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Wynik sektora instytucji rządowych i samorz</w:t>
            </w:r>
            <w:r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ą</w:t>
            </w:r>
            <w:r w:rsidRPr="00C62B0C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dowych ( w % PKB)</w:t>
            </w:r>
            <w:r w:rsidRPr="005E376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</w:t>
            </w:r>
          </w:p>
        </w:tc>
      </w:tr>
      <w:tr w:rsidR="00D55ED6" w:rsidRPr="007F78EA" w:rsidTr="002A20F0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D55ED6" w:rsidRPr="007F78EA" w:rsidRDefault="000404D4" w:rsidP="00415A43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38450" cy="2055495"/>
                  <wp:effectExtent l="0" t="0" r="0" b="1905"/>
                  <wp:docPr id="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ED6" w:rsidRPr="007F78EA" w:rsidTr="00415A43">
        <w:tc>
          <w:tcPr>
            <w:tcW w:w="4680" w:type="dxa"/>
          </w:tcPr>
          <w:p w:rsidR="00D55ED6" w:rsidRPr="007F78EA" w:rsidRDefault="00D55ED6" w:rsidP="00415A4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7F78EA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5E3769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Dane Eurostat, GUS, obliczenia własne</w:t>
            </w:r>
          </w:p>
        </w:tc>
      </w:tr>
    </w:tbl>
    <w:p w:rsidR="002460E7" w:rsidRPr="000A6CA0" w:rsidRDefault="002460E7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484006831"/>
      <w:r w:rsidRPr="000A6CA0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0A6CA0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3"/>
    </w:p>
    <w:p w:rsidR="00562706" w:rsidRDefault="0020557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IV</w:t>
      </w:r>
      <w:r w:rsidR="0072464B">
        <w:rPr>
          <w:rFonts w:ascii="Times New Roman" w:hAnsi="Times New Roman"/>
          <w:bCs/>
          <w:sz w:val="20"/>
          <w:szCs w:val="20"/>
        </w:rPr>
        <w:t xml:space="preserve"> kw.</w:t>
      </w:r>
      <w:r w:rsidR="00092DA3">
        <w:rPr>
          <w:rFonts w:ascii="Times New Roman" w:hAnsi="Times New Roman"/>
          <w:bCs/>
          <w:sz w:val="20"/>
          <w:szCs w:val="20"/>
        </w:rPr>
        <w:t xml:space="preserve"> 2016</w:t>
      </w:r>
      <w:r w:rsidR="002826C7">
        <w:rPr>
          <w:rFonts w:ascii="Times New Roman" w:hAnsi="Times New Roman"/>
          <w:bCs/>
          <w:sz w:val="20"/>
          <w:szCs w:val="20"/>
        </w:rPr>
        <w:t xml:space="preserve"> r. dochody sektora</w:t>
      </w:r>
      <w:r w:rsidR="0072464B">
        <w:rPr>
          <w:rFonts w:ascii="Times New Roman" w:hAnsi="Times New Roman"/>
          <w:bCs/>
          <w:sz w:val="20"/>
          <w:szCs w:val="20"/>
        </w:rPr>
        <w:t xml:space="preserve"> instytucji rządowych i </w:t>
      </w:r>
      <w:r w:rsidR="002826C7">
        <w:rPr>
          <w:rFonts w:ascii="Times New Roman" w:hAnsi="Times New Roman"/>
          <w:bCs/>
          <w:sz w:val="20"/>
          <w:szCs w:val="20"/>
        </w:rPr>
        <w:t>samorządowych</w:t>
      </w:r>
      <w:r>
        <w:rPr>
          <w:rFonts w:ascii="Times New Roman" w:hAnsi="Times New Roman"/>
          <w:bCs/>
          <w:sz w:val="20"/>
          <w:szCs w:val="20"/>
        </w:rPr>
        <w:t xml:space="preserve"> (</w:t>
      </w:r>
      <w:r w:rsidR="00092DA3">
        <w:rPr>
          <w:rFonts w:ascii="Times New Roman" w:hAnsi="Times New Roman"/>
          <w:bCs/>
          <w:sz w:val="20"/>
          <w:szCs w:val="20"/>
        </w:rPr>
        <w:t>wg zasad ESA2010) wyniosły 19</w:t>
      </w:r>
      <w:r w:rsidR="0095058D">
        <w:rPr>
          <w:rFonts w:ascii="Times New Roman" w:hAnsi="Times New Roman"/>
          <w:bCs/>
          <w:sz w:val="20"/>
          <w:szCs w:val="20"/>
        </w:rPr>
        <w:t>0,6</w:t>
      </w:r>
      <w:r w:rsidR="0072464B">
        <w:rPr>
          <w:rFonts w:ascii="Times New Roman" w:hAnsi="Times New Roman"/>
          <w:bCs/>
          <w:sz w:val="20"/>
          <w:szCs w:val="20"/>
        </w:rPr>
        <w:t> </w:t>
      </w:r>
      <w:r w:rsidR="002826C7">
        <w:rPr>
          <w:rFonts w:ascii="Times New Roman" w:hAnsi="Times New Roman"/>
          <w:bCs/>
          <w:sz w:val="20"/>
          <w:szCs w:val="20"/>
        </w:rPr>
        <w:t>ml</w:t>
      </w:r>
      <w:r w:rsidR="00A43C11">
        <w:rPr>
          <w:rFonts w:ascii="Times New Roman" w:hAnsi="Times New Roman"/>
          <w:bCs/>
          <w:sz w:val="20"/>
          <w:szCs w:val="20"/>
        </w:rPr>
        <w:t>d</w:t>
      </w:r>
      <w:r w:rsidR="002826C7">
        <w:rPr>
          <w:rFonts w:ascii="Times New Roman" w:hAnsi="Times New Roman"/>
          <w:bCs/>
          <w:sz w:val="20"/>
          <w:szCs w:val="20"/>
        </w:rPr>
        <w:t xml:space="preserve"> zł i były </w:t>
      </w:r>
      <w:r w:rsidR="0095058D">
        <w:rPr>
          <w:rFonts w:ascii="Times New Roman" w:hAnsi="Times New Roman"/>
          <w:bCs/>
          <w:sz w:val="20"/>
          <w:szCs w:val="20"/>
        </w:rPr>
        <w:t>ni</w:t>
      </w:r>
      <w:r w:rsidR="002826C7">
        <w:rPr>
          <w:rFonts w:ascii="Times New Roman" w:hAnsi="Times New Roman"/>
          <w:bCs/>
          <w:sz w:val="20"/>
          <w:szCs w:val="20"/>
        </w:rPr>
        <w:t>ższe od wykonania dochodów w</w:t>
      </w:r>
      <w:r w:rsidR="00A700BC">
        <w:rPr>
          <w:rFonts w:ascii="Times New Roman" w:hAnsi="Times New Roman"/>
          <w:bCs/>
          <w:sz w:val="20"/>
          <w:szCs w:val="20"/>
        </w:rPr>
        <w:t> </w:t>
      </w:r>
      <w:r w:rsidR="002826C7">
        <w:rPr>
          <w:rFonts w:ascii="Times New Roman" w:hAnsi="Times New Roman"/>
          <w:bCs/>
          <w:sz w:val="20"/>
          <w:szCs w:val="20"/>
        </w:rPr>
        <w:t>analogicznym</w:t>
      </w:r>
      <w:r w:rsidR="0052514A">
        <w:rPr>
          <w:rFonts w:ascii="Times New Roman" w:hAnsi="Times New Roman"/>
          <w:bCs/>
          <w:sz w:val="20"/>
          <w:szCs w:val="20"/>
        </w:rPr>
        <w:t xml:space="preserve"> okresie roku poprzedniego o </w:t>
      </w:r>
      <w:r w:rsidR="00092DA3">
        <w:rPr>
          <w:rFonts w:ascii="Times New Roman" w:hAnsi="Times New Roman"/>
          <w:bCs/>
          <w:sz w:val="20"/>
          <w:szCs w:val="20"/>
        </w:rPr>
        <w:t>0,</w:t>
      </w:r>
      <w:r w:rsidR="0095058D">
        <w:rPr>
          <w:rFonts w:ascii="Times New Roman" w:hAnsi="Times New Roman"/>
          <w:bCs/>
          <w:sz w:val="20"/>
          <w:szCs w:val="20"/>
        </w:rPr>
        <w:t>2</w:t>
      </w:r>
      <w:r w:rsidR="002826C7">
        <w:rPr>
          <w:rFonts w:ascii="Times New Roman" w:hAnsi="Times New Roman"/>
          <w:bCs/>
          <w:sz w:val="20"/>
          <w:szCs w:val="20"/>
        </w:rPr>
        <w:t>%</w:t>
      </w:r>
      <w:r w:rsidR="0095058D">
        <w:rPr>
          <w:rFonts w:ascii="Times New Roman" w:hAnsi="Times New Roman"/>
          <w:bCs/>
          <w:sz w:val="20"/>
          <w:szCs w:val="20"/>
        </w:rPr>
        <w:t> </w:t>
      </w:r>
      <w:r w:rsidR="0072464B">
        <w:rPr>
          <w:rFonts w:ascii="Times New Roman" w:hAnsi="Times New Roman"/>
          <w:bCs/>
          <w:sz w:val="20"/>
          <w:szCs w:val="20"/>
        </w:rPr>
        <w:t>(r/r)</w:t>
      </w:r>
      <w:r w:rsidR="002A1BD0">
        <w:rPr>
          <w:rFonts w:ascii="Times New Roman" w:hAnsi="Times New Roman"/>
          <w:bCs/>
          <w:sz w:val="20"/>
          <w:szCs w:val="20"/>
        </w:rPr>
        <w:t>, co wynikało z n</w:t>
      </w:r>
      <w:r w:rsidR="0095058D">
        <w:rPr>
          <w:rFonts w:ascii="Times New Roman" w:hAnsi="Times New Roman"/>
          <w:bCs/>
          <w:sz w:val="20"/>
          <w:szCs w:val="20"/>
        </w:rPr>
        <w:t>ominaln</w:t>
      </w:r>
      <w:r w:rsidR="002A1BD0">
        <w:rPr>
          <w:rFonts w:ascii="Times New Roman" w:hAnsi="Times New Roman"/>
          <w:bCs/>
          <w:sz w:val="20"/>
          <w:szCs w:val="20"/>
        </w:rPr>
        <w:t>ego</w:t>
      </w:r>
      <w:r w:rsidR="0095058D">
        <w:rPr>
          <w:rFonts w:ascii="Times New Roman" w:hAnsi="Times New Roman"/>
          <w:bCs/>
          <w:sz w:val="20"/>
          <w:szCs w:val="20"/>
        </w:rPr>
        <w:t xml:space="preserve"> spadk</w:t>
      </w:r>
      <w:r w:rsidR="002A1BD0">
        <w:rPr>
          <w:rFonts w:ascii="Times New Roman" w:hAnsi="Times New Roman"/>
          <w:bCs/>
          <w:sz w:val="20"/>
          <w:szCs w:val="20"/>
        </w:rPr>
        <w:t>u</w:t>
      </w:r>
      <w:r w:rsidR="0095058D">
        <w:rPr>
          <w:rFonts w:ascii="Times New Roman" w:hAnsi="Times New Roman"/>
          <w:bCs/>
          <w:sz w:val="20"/>
          <w:szCs w:val="20"/>
        </w:rPr>
        <w:t xml:space="preserve"> dochodów, z wyłączeniem podatków i składek na ubezpieczenia społeczne aż o 24,7% r/r. Spadek ten został zrekompensowany przez wzrost podatk</w:t>
      </w:r>
      <w:r w:rsidR="00B83D13">
        <w:rPr>
          <w:rFonts w:ascii="Times New Roman" w:hAnsi="Times New Roman"/>
          <w:bCs/>
          <w:sz w:val="20"/>
          <w:szCs w:val="20"/>
        </w:rPr>
        <w:t>ów</w:t>
      </w:r>
      <w:r w:rsidR="0095058D">
        <w:rPr>
          <w:rStyle w:val="Odwoanieprzypisudolnego"/>
          <w:rFonts w:ascii="Times New Roman" w:hAnsi="Times New Roman"/>
          <w:bCs/>
          <w:sz w:val="20"/>
          <w:szCs w:val="20"/>
        </w:rPr>
        <w:footnoteReference w:id="1"/>
      </w:r>
      <w:r w:rsidR="0052514A">
        <w:rPr>
          <w:rFonts w:ascii="Times New Roman" w:hAnsi="Times New Roman"/>
          <w:bCs/>
          <w:sz w:val="20"/>
          <w:szCs w:val="20"/>
        </w:rPr>
        <w:t xml:space="preserve"> i </w:t>
      </w:r>
      <w:r w:rsidR="0095058D">
        <w:rPr>
          <w:rFonts w:ascii="Times New Roman" w:hAnsi="Times New Roman"/>
          <w:bCs/>
          <w:sz w:val="20"/>
          <w:szCs w:val="20"/>
        </w:rPr>
        <w:t>skład</w:t>
      </w:r>
      <w:r w:rsidR="00B83D13">
        <w:rPr>
          <w:rFonts w:ascii="Times New Roman" w:hAnsi="Times New Roman"/>
          <w:bCs/>
          <w:sz w:val="20"/>
          <w:szCs w:val="20"/>
        </w:rPr>
        <w:t>e</w:t>
      </w:r>
      <w:r w:rsidR="0095058D">
        <w:rPr>
          <w:rFonts w:ascii="Times New Roman" w:hAnsi="Times New Roman"/>
          <w:bCs/>
          <w:sz w:val="20"/>
          <w:szCs w:val="20"/>
        </w:rPr>
        <w:t xml:space="preserve">k na ubezpieczenia społeczne, które mają największy (ok. 90%) udział w dochodach.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CE4AD9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CE4AD9" w:rsidRDefault="00CE4AD9" w:rsidP="009E157D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CE4A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lastRenderedPageBreak/>
              <w:t xml:space="preserve">Wyk. </w:t>
            </w:r>
            <w:r w:rsidR="009E157D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r w:rsidRPr="00CE4A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dochodów sektora instytucji rządowy</w:t>
            </w:r>
            <w:r w:rsidR="00092DA3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ch i samorządowych w IV kw. 2016</w:t>
            </w:r>
            <w:r w:rsidRPr="00CE4A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CE4AD9" w:rsidTr="00D77324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CE4AD9" w:rsidRDefault="000404D4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3676650" cy="1908175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85" t="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190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CE4AD9" w:rsidTr="00415A43">
        <w:tc>
          <w:tcPr>
            <w:tcW w:w="4680" w:type="dxa"/>
          </w:tcPr>
          <w:p w:rsidR="00CE4AD9" w:rsidRPr="00CE4AD9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CE4AD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000BC6" w:rsidRDefault="00000BC6" w:rsidP="00D0426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000BC6">
        <w:rPr>
          <w:rFonts w:ascii="Times New Roman" w:hAnsi="Times New Roman"/>
          <w:bCs/>
          <w:sz w:val="20"/>
          <w:szCs w:val="20"/>
        </w:rPr>
        <w:t>Dochody z tytułu składek na ubezpieczenie społeczne wg zasad ESA2010</w:t>
      </w:r>
      <w:r w:rsidR="00092DA3">
        <w:rPr>
          <w:rFonts w:ascii="Times New Roman" w:hAnsi="Times New Roman"/>
          <w:bCs/>
          <w:sz w:val="20"/>
          <w:szCs w:val="20"/>
        </w:rPr>
        <w:t xml:space="preserve"> w IV kw. 2016</w:t>
      </w:r>
      <w:r>
        <w:rPr>
          <w:rFonts w:ascii="Times New Roman" w:hAnsi="Times New Roman"/>
          <w:bCs/>
          <w:sz w:val="20"/>
          <w:szCs w:val="20"/>
        </w:rPr>
        <w:t xml:space="preserve"> r. były wyższe o </w:t>
      </w:r>
      <w:r w:rsidR="00092DA3">
        <w:rPr>
          <w:rFonts w:ascii="Times New Roman" w:hAnsi="Times New Roman"/>
          <w:bCs/>
          <w:sz w:val="20"/>
          <w:szCs w:val="20"/>
        </w:rPr>
        <w:t>5,3</w:t>
      </w:r>
      <w:r w:rsidRPr="00000BC6">
        <w:rPr>
          <w:rFonts w:ascii="Times New Roman" w:hAnsi="Times New Roman"/>
          <w:bCs/>
          <w:sz w:val="20"/>
          <w:szCs w:val="20"/>
        </w:rPr>
        <w:t xml:space="preserve">% r/r, tj. </w:t>
      </w:r>
      <w:r w:rsidR="00B83D13">
        <w:rPr>
          <w:rFonts w:ascii="Times New Roman" w:hAnsi="Times New Roman"/>
          <w:bCs/>
          <w:sz w:val="20"/>
          <w:szCs w:val="20"/>
        </w:rPr>
        <w:t>zgodnie z</w:t>
      </w:r>
      <w:r w:rsidRPr="00000BC6">
        <w:rPr>
          <w:rFonts w:ascii="Times New Roman" w:hAnsi="Times New Roman"/>
          <w:bCs/>
          <w:sz w:val="20"/>
          <w:szCs w:val="20"/>
        </w:rPr>
        <w:t xml:space="preserve"> temp</w:t>
      </w:r>
      <w:r w:rsidR="00B83D13">
        <w:rPr>
          <w:rFonts w:ascii="Times New Roman" w:hAnsi="Times New Roman"/>
          <w:bCs/>
          <w:sz w:val="20"/>
          <w:szCs w:val="20"/>
        </w:rPr>
        <w:t>em</w:t>
      </w:r>
      <w:r w:rsidRPr="00000BC6">
        <w:rPr>
          <w:rFonts w:ascii="Times New Roman" w:hAnsi="Times New Roman"/>
          <w:bCs/>
          <w:sz w:val="20"/>
          <w:szCs w:val="20"/>
        </w:rPr>
        <w:t xml:space="preserve"> wzrostu funduszu wynagrodzeń w gospodarce narodowej </w:t>
      </w:r>
      <w:r w:rsidRPr="002A1BD0">
        <w:rPr>
          <w:rFonts w:ascii="Times New Roman" w:hAnsi="Times New Roman"/>
          <w:bCs/>
          <w:sz w:val="20"/>
          <w:szCs w:val="20"/>
        </w:rPr>
        <w:t>(ok.</w:t>
      </w:r>
      <w:r w:rsidR="001E29EE" w:rsidRPr="002A1BD0">
        <w:rPr>
          <w:rFonts w:ascii="Times New Roman" w:hAnsi="Times New Roman"/>
          <w:bCs/>
          <w:sz w:val="20"/>
          <w:szCs w:val="20"/>
        </w:rPr>
        <w:t>5</w:t>
      </w:r>
      <w:r w:rsidRPr="002A1BD0">
        <w:rPr>
          <w:rFonts w:ascii="Times New Roman" w:hAnsi="Times New Roman"/>
          <w:bCs/>
          <w:sz w:val="20"/>
          <w:szCs w:val="20"/>
        </w:rPr>
        <w:t>,3% r/r).</w:t>
      </w:r>
    </w:p>
    <w:p w:rsidR="00B03B2E" w:rsidRPr="00B03B2E" w:rsidRDefault="00B03B2E" w:rsidP="00B03B2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03B2E">
        <w:rPr>
          <w:rFonts w:ascii="Times New Roman" w:hAnsi="Times New Roman"/>
          <w:bCs/>
          <w:sz w:val="20"/>
          <w:szCs w:val="20"/>
        </w:rPr>
        <w:t>Dochody sektora finansów publicznych z PIT, wg zasad ESA2010, wyniosły w IV kw. 2016 r. 26,7 mld zł i były wyższe o 5,7% r/r. Prognozuje się, że nominalne tempo wzrostu przeciętnego funduszu wynagrodzeń w gospodarce narodowej oraz emerytur i rent w IV kw. 2016 r. wyniosło 4,2% r/r. Wysokie tempo wzrostu dochodów z PIT wynikało z wysokiej dynamiki wpływów podatkowych od osób prowadzących działalność gospodarczą. W przypadku podatników rozliczających się według liniowej 19% stawki podatku tempo wyniosło 7,4% r/r, a dla opodatkowanych ryczałtem od przychodów ewidencjonowanych tempo wyniosło 11,3% r/r.</w:t>
      </w:r>
    </w:p>
    <w:p w:rsidR="00B03B2E" w:rsidRPr="00B03B2E" w:rsidRDefault="00B03B2E" w:rsidP="00B03B2E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03B2E">
        <w:rPr>
          <w:rFonts w:ascii="Times New Roman" w:hAnsi="Times New Roman"/>
          <w:bCs/>
          <w:sz w:val="20"/>
          <w:szCs w:val="20"/>
        </w:rPr>
        <w:t xml:space="preserve">Dochody z tytułu podatku VAT, wg zasad ESA2010, w IV kw. 2016 r. były o 0,3% wyższe niż w analogicznym okresie 2015 r. W IV kw. wzrost nominalnej produkcji sprzedanej wyniósł 3,3% r/r. Negatywnie na dochody z VAT wpłynęła wielkość zwrotów podatku, która była wyższa niż przed rokiem (wzrost wyniósł 4,1% r/r).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B03B2E" w:rsidRPr="00B03B2E" w:rsidTr="00AB30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B03B2E" w:rsidRPr="00B03B2E" w:rsidRDefault="00B03B2E" w:rsidP="00AB3077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B03B2E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lastRenderedPageBreak/>
              <w:t>Wyk. 3. Dynamika wpływów z podatku VAT (r/r).</w:t>
            </w:r>
          </w:p>
        </w:tc>
      </w:tr>
      <w:tr w:rsidR="00B03B2E" w:rsidRPr="00B03B2E" w:rsidTr="00AB3077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B03B2E" w:rsidRPr="00B03B2E" w:rsidRDefault="000404D4" w:rsidP="00AB3077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30830" cy="2040890"/>
                  <wp:effectExtent l="0" t="0" r="7620" b="0"/>
                  <wp:docPr id="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204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B2E" w:rsidRPr="00B03B2E" w:rsidTr="00AB3077">
        <w:tc>
          <w:tcPr>
            <w:tcW w:w="4680" w:type="dxa"/>
          </w:tcPr>
          <w:p w:rsidR="00B03B2E" w:rsidRPr="00B03B2E" w:rsidRDefault="00B03B2E" w:rsidP="00AB3077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B03B2E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B03B2E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:rsidR="00B03B2E" w:rsidRPr="00B03B2E" w:rsidRDefault="00B03B2E" w:rsidP="00B03B2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03B2E">
        <w:rPr>
          <w:rFonts w:ascii="Times New Roman" w:hAnsi="Times New Roman"/>
          <w:bCs/>
          <w:sz w:val="20"/>
          <w:szCs w:val="20"/>
        </w:rPr>
        <w:t xml:space="preserve">Dochody sektora finansów publicznych z CIT, wg zasad ESA2010, wyniosły w IV kw. 2016 r. 9,3 mld zł i były wyższe o 8,0% r/r. Wpływy od banków i pozostałych instytucji finansowych wzrosły o 103,6% r/r, a wpływy od pozostałych przedsiębiorstw spadły o 5,0% r/r. W IV kw. 2016 r. polepszyła się sytuacja przedsiębiorców. Według GUS wynik finansowy brutto przedsiębiorstw niefinansowych zwiększył się o 26,0% r/r, a zysk brutto tych podmiotów wzrósł o 16,6% r/r. Wynik finansowy brutto banków w ostatnim kwartale 2016 r. wzrósł </w:t>
      </w:r>
      <w:r w:rsidR="00B83D13">
        <w:rPr>
          <w:rFonts w:ascii="Times New Roman" w:hAnsi="Times New Roman"/>
          <w:bCs/>
          <w:sz w:val="20"/>
          <w:szCs w:val="20"/>
        </w:rPr>
        <w:t>czterokrotnie (</w:t>
      </w:r>
      <w:r w:rsidRPr="00B03B2E">
        <w:rPr>
          <w:rFonts w:ascii="Times New Roman" w:hAnsi="Times New Roman"/>
          <w:bCs/>
          <w:sz w:val="20"/>
          <w:szCs w:val="20"/>
        </w:rPr>
        <w:t>o 4290,2%</w:t>
      </w:r>
      <w:r w:rsidR="00B83D13">
        <w:rPr>
          <w:rFonts w:ascii="Times New Roman" w:hAnsi="Times New Roman"/>
          <w:bCs/>
          <w:sz w:val="20"/>
          <w:szCs w:val="20"/>
        </w:rPr>
        <w:t xml:space="preserve"> r/r)</w:t>
      </w:r>
      <w:r w:rsidRPr="00B03B2E">
        <w:rPr>
          <w:rFonts w:ascii="Times New Roman" w:hAnsi="Times New Roman"/>
          <w:bCs/>
          <w:sz w:val="20"/>
          <w:szCs w:val="20"/>
        </w:rPr>
        <w:t>. Tak wysoki wzrost jest efektem bazy – w ostatnim kwartale 2015 r. wynik finansowy banków był wyjątkowo niski</w:t>
      </w:r>
      <w:r w:rsidR="0094645D">
        <w:rPr>
          <w:rFonts w:ascii="Times New Roman" w:hAnsi="Times New Roman"/>
          <w:bCs/>
          <w:sz w:val="20"/>
          <w:szCs w:val="20"/>
        </w:rPr>
        <w:t>, co</w:t>
      </w:r>
      <w:r w:rsidRPr="00B03B2E">
        <w:rPr>
          <w:rFonts w:ascii="Times New Roman" w:hAnsi="Times New Roman"/>
          <w:bCs/>
          <w:sz w:val="20"/>
          <w:szCs w:val="20"/>
        </w:rPr>
        <w:t xml:space="preserve"> wynikał</w:t>
      </w:r>
      <w:r w:rsidR="0094645D">
        <w:rPr>
          <w:rFonts w:ascii="Times New Roman" w:hAnsi="Times New Roman"/>
          <w:bCs/>
          <w:sz w:val="20"/>
          <w:szCs w:val="20"/>
        </w:rPr>
        <w:t>o</w:t>
      </w:r>
      <w:r w:rsidRPr="00B03B2E">
        <w:rPr>
          <w:rFonts w:ascii="Times New Roman" w:hAnsi="Times New Roman"/>
          <w:bCs/>
          <w:sz w:val="20"/>
          <w:szCs w:val="20"/>
        </w:rPr>
        <w:t xml:space="preserve"> </w:t>
      </w:r>
      <w:r w:rsidR="0094645D">
        <w:rPr>
          <w:rFonts w:ascii="Times New Roman" w:hAnsi="Times New Roman"/>
          <w:bCs/>
          <w:sz w:val="20"/>
          <w:szCs w:val="20"/>
        </w:rPr>
        <w:t xml:space="preserve">z </w:t>
      </w:r>
      <w:r w:rsidRPr="00B03B2E">
        <w:rPr>
          <w:rFonts w:ascii="Times New Roman" w:hAnsi="Times New Roman"/>
          <w:bCs/>
          <w:sz w:val="20"/>
          <w:szCs w:val="20"/>
        </w:rPr>
        <w:t>konieczności przekazania części środków z funduszy ochrony środków gwarantowanych do B</w:t>
      </w:r>
      <w:r w:rsidR="00B83D13">
        <w:rPr>
          <w:rFonts w:ascii="Times New Roman" w:hAnsi="Times New Roman"/>
          <w:bCs/>
          <w:sz w:val="20"/>
          <w:szCs w:val="20"/>
        </w:rPr>
        <w:t xml:space="preserve">ankowego </w:t>
      </w:r>
      <w:r w:rsidRPr="00B03B2E">
        <w:rPr>
          <w:rFonts w:ascii="Times New Roman" w:hAnsi="Times New Roman"/>
          <w:bCs/>
          <w:sz w:val="20"/>
          <w:szCs w:val="20"/>
        </w:rPr>
        <w:t>F</w:t>
      </w:r>
      <w:r w:rsidR="00B83D13">
        <w:rPr>
          <w:rFonts w:ascii="Times New Roman" w:hAnsi="Times New Roman"/>
          <w:bCs/>
          <w:sz w:val="20"/>
          <w:szCs w:val="20"/>
        </w:rPr>
        <w:t xml:space="preserve">unduszu </w:t>
      </w:r>
      <w:r w:rsidRPr="00B03B2E">
        <w:rPr>
          <w:rFonts w:ascii="Times New Roman" w:hAnsi="Times New Roman"/>
          <w:bCs/>
          <w:sz w:val="20"/>
          <w:szCs w:val="20"/>
        </w:rPr>
        <w:t>G</w:t>
      </w:r>
      <w:r w:rsidR="00B83D13">
        <w:rPr>
          <w:rFonts w:ascii="Times New Roman" w:hAnsi="Times New Roman"/>
          <w:bCs/>
          <w:sz w:val="20"/>
          <w:szCs w:val="20"/>
        </w:rPr>
        <w:t>warancyjnego (BFG)</w:t>
      </w:r>
      <w:r w:rsidRPr="00B03B2E">
        <w:rPr>
          <w:rFonts w:ascii="Times New Roman" w:hAnsi="Times New Roman"/>
          <w:bCs/>
          <w:sz w:val="20"/>
          <w:szCs w:val="20"/>
        </w:rPr>
        <w:t xml:space="preserve"> w celu wypłaty depozytów klientom Spółdzielczego Banku Rzemiosła i Rolnictwa w Wołominie (SK Banku). Dodatkowo w IV kw. 2015 r. zwiększyła się skala odpisów aktualizujących z tytułu utraty wartości aktywów finansowych w sektorze banków spółdzielczych (koszty materializacji ryzyka kredytowego).</w:t>
      </w:r>
    </w:p>
    <w:p w:rsidR="00B03B2E" w:rsidRPr="00B03B2E" w:rsidRDefault="00B03B2E" w:rsidP="00B03B2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03B2E">
        <w:rPr>
          <w:rFonts w:ascii="Times New Roman" w:hAnsi="Times New Roman"/>
          <w:bCs/>
          <w:sz w:val="20"/>
          <w:szCs w:val="20"/>
        </w:rPr>
        <w:t>Dochody z akcyzy, wg zasad ESA2010, wyniosły w IV kw. 2016 r. 16,6 mld zł i były wyższe o 7,7% r/r. Szczególnie wysokie w tym okresie było tempo zmian dochodów z akcyzy od oleju opałowego i samochodów osobowych, które wyniosło odpowiednio 14,8% r/r i 23,0% r/r. Akcyza od samochodów ro</w:t>
      </w:r>
      <w:r w:rsidR="0094645D">
        <w:rPr>
          <w:rFonts w:ascii="Times New Roman" w:hAnsi="Times New Roman"/>
          <w:bCs/>
          <w:sz w:val="20"/>
          <w:szCs w:val="20"/>
        </w:rPr>
        <w:t>sła</w:t>
      </w:r>
      <w:r w:rsidRPr="00B03B2E">
        <w:rPr>
          <w:rFonts w:ascii="Times New Roman" w:hAnsi="Times New Roman"/>
          <w:bCs/>
          <w:sz w:val="20"/>
          <w:szCs w:val="20"/>
        </w:rPr>
        <w:t xml:space="preserve"> z powodu wysokiej sprzedaży jaką można</w:t>
      </w:r>
      <w:r w:rsidR="0094645D">
        <w:rPr>
          <w:rFonts w:ascii="Times New Roman" w:hAnsi="Times New Roman"/>
          <w:bCs/>
          <w:sz w:val="20"/>
          <w:szCs w:val="20"/>
        </w:rPr>
        <w:t xml:space="preserve"> było</w:t>
      </w:r>
      <w:r w:rsidRPr="00B03B2E">
        <w:rPr>
          <w:rFonts w:ascii="Times New Roman" w:hAnsi="Times New Roman"/>
          <w:bCs/>
          <w:sz w:val="20"/>
          <w:szCs w:val="20"/>
        </w:rPr>
        <w:t xml:space="preserve"> zaobserwować w 2016 r. Wg danych GUS dostawy na rynek samochodów osobowych w IV kw. 2016 r. były wyższe o 26,2% r/r.</w:t>
      </w:r>
    </w:p>
    <w:p w:rsidR="001E45F8" w:rsidRDefault="00AF6608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AF6608">
        <w:rPr>
          <w:rFonts w:ascii="Times New Roman" w:hAnsi="Times New Roman"/>
          <w:bCs/>
          <w:sz w:val="20"/>
          <w:szCs w:val="20"/>
        </w:rPr>
        <w:lastRenderedPageBreak/>
        <w:t>W IV</w:t>
      </w:r>
      <w:r w:rsidR="00EF223A" w:rsidRPr="00AF6608">
        <w:rPr>
          <w:rFonts w:ascii="Times New Roman" w:hAnsi="Times New Roman"/>
          <w:bCs/>
          <w:sz w:val="20"/>
          <w:szCs w:val="20"/>
        </w:rPr>
        <w:t xml:space="preserve"> kw</w:t>
      </w:r>
      <w:r w:rsidR="0072464B" w:rsidRPr="00AF6608">
        <w:rPr>
          <w:rFonts w:ascii="Times New Roman" w:hAnsi="Times New Roman"/>
          <w:bCs/>
          <w:sz w:val="20"/>
          <w:szCs w:val="20"/>
        </w:rPr>
        <w:t>.</w:t>
      </w:r>
      <w:r w:rsidR="003A5602">
        <w:rPr>
          <w:rFonts w:ascii="Times New Roman" w:hAnsi="Times New Roman"/>
          <w:bCs/>
          <w:sz w:val="20"/>
          <w:szCs w:val="20"/>
        </w:rPr>
        <w:t xml:space="preserve"> 2016</w:t>
      </w:r>
      <w:r w:rsidR="00EF223A" w:rsidRPr="00AF6608">
        <w:rPr>
          <w:rFonts w:ascii="Times New Roman" w:hAnsi="Times New Roman"/>
          <w:bCs/>
          <w:sz w:val="20"/>
          <w:szCs w:val="20"/>
        </w:rPr>
        <w:t xml:space="preserve"> r. </w:t>
      </w:r>
      <w:r w:rsidR="003A5602">
        <w:rPr>
          <w:rFonts w:ascii="Times New Roman" w:hAnsi="Times New Roman"/>
          <w:bCs/>
          <w:sz w:val="20"/>
          <w:szCs w:val="20"/>
        </w:rPr>
        <w:t>znacząco niższe</w:t>
      </w:r>
      <w:r w:rsidRPr="00AF6608">
        <w:rPr>
          <w:rFonts w:ascii="Times New Roman" w:hAnsi="Times New Roman"/>
          <w:bCs/>
          <w:sz w:val="20"/>
          <w:szCs w:val="20"/>
        </w:rPr>
        <w:t xml:space="preserve"> niż w IV</w:t>
      </w:r>
      <w:r w:rsidR="00EF223A" w:rsidRPr="00AF6608">
        <w:rPr>
          <w:rFonts w:ascii="Times New Roman" w:hAnsi="Times New Roman"/>
          <w:bCs/>
          <w:sz w:val="20"/>
          <w:szCs w:val="20"/>
        </w:rPr>
        <w:t xml:space="preserve"> kw</w:t>
      </w:r>
      <w:r w:rsidR="0072464B" w:rsidRPr="00AF6608">
        <w:rPr>
          <w:rFonts w:ascii="Times New Roman" w:hAnsi="Times New Roman"/>
          <w:bCs/>
          <w:sz w:val="20"/>
          <w:szCs w:val="20"/>
        </w:rPr>
        <w:t>.</w:t>
      </w:r>
      <w:r w:rsidR="003A5602">
        <w:rPr>
          <w:rFonts w:ascii="Times New Roman" w:hAnsi="Times New Roman"/>
          <w:bCs/>
          <w:sz w:val="20"/>
          <w:szCs w:val="20"/>
        </w:rPr>
        <w:t xml:space="preserve"> 2015</w:t>
      </w:r>
      <w:r w:rsidR="00EF223A" w:rsidRPr="00AF6608">
        <w:rPr>
          <w:rFonts w:ascii="Times New Roman" w:hAnsi="Times New Roman"/>
          <w:bCs/>
          <w:sz w:val="20"/>
          <w:szCs w:val="20"/>
        </w:rPr>
        <w:t xml:space="preserve"> r. </w:t>
      </w:r>
      <w:r w:rsidR="003F6C6C">
        <w:rPr>
          <w:rFonts w:ascii="Times New Roman" w:hAnsi="Times New Roman"/>
          <w:bCs/>
          <w:sz w:val="20"/>
          <w:szCs w:val="20"/>
        </w:rPr>
        <w:t xml:space="preserve">były </w:t>
      </w:r>
      <w:r w:rsidR="00EF223A" w:rsidRPr="00AF6608">
        <w:rPr>
          <w:rFonts w:ascii="Times New Roman" w:hAnsi="Times New Roman"/>
          <w:bCs/>
          <w:sz w:val="20"/>
          <w:szCs w:val="20"/>
        </w:rPr>
        <w:t xml:space="preserve">dochody z tytułu własności </w:t>
      </w:r>
      <w:r w:rsidR="007B0E3C" w:rsidRPr="00AF6608">
        <w:rPr>
          <w:rFonts w:ascii="Times New Roman" w:hAnsi="Times New Roman"/>
          <w:bCs/>
          <w:sz w:val="20"/>
          <w:szCs w:val="20"/>
        </w:rPr>
        <w:t>wg ESA2010</w:t>
      </w:r>
      <w:r w:rsidR="001C13AB" w:rsidRPr="00AF6608">
        <w:rPr>
          <w:rFonts w:ascii="Times New Roman" w:hAnsi="Times New Roman"/>
          <w:bCs/>
          <w:sz w:val="20"/>
          <w:szCs w:val="20"/>
        </w:rPr>
        <w:t xml:space="preserve"> (o</w:t>
      </w:r>
      <w:r w:rsidR="00F142BF" w:rsidRPr="00AF6608">
        <w:rPr>
          <w:rFonts w:ascii="Times New Roman" w:hAnsi="Times New Roman"/>
          <w:bCs/>
          <w:sz w:val="20"/>
          <w:szCs w:val="20"/>
        </w:rPr>
        <w:t> </w:t>
      </w:r>
      <w:r w:rsidR="005F459E">
        <w:rPr>
          <w:rFonts w:ascii="Times New Roman" w:hAnsi="Times New Roman"/>
          <w:bCs/>
          <w:sz w:val="20"/>
          <w:szCs w:val="20"/>
        </w:rPr>
        <w:t>33,2</w:t>
      </w:r>
      <w:r w:rsidR="003B2E14" w:rsidRPr="00AF6608">
        <w:rPr>
          <w:rFonts w:ascii="Times New Roman" w:hAnsi="Times New Roman"/>
          <w:bCs/>
          <w:sz w:val="20"/>
          <w:szCs w:val="20"/>
        </w:rPr>
        <w:t>%, r/r)</w:t>
      </w:r>
      <w:r w:rsidR="007B0E3C" w:rsidRPr="00AF6608">
        <w:rPr>
          <w:rFonts w:ascii="Times New Roman" w:hAnsi="Times New Roman"/>
          <w:bCs/>
          <w:sz w:val="20"/>
          <w:szCs w:val="20"/>
        </w:rPr>
        <w:t xml:space="preserve">. </w:t>
      </w:r>
      <w:r w:rsidR="005F459E">
        <w:rPr>
          <w:rFonts w:ascii="Times New Roman" w:hAnsi="Times New Roman"/>
          <w:bCs/>
          <w:sz w:val="20"/>
          <w:szCs w:val="20"/>
        </w:rPr>
        <w:t>Największy udział w tej kategorii mają</w:t>
      </w:r>
      <w:r w:rsidR="00EF223A" w:rsidRPr="00AF6608">
        <w:rPr>
          <w:rFonts w:ascii="Times New Roman" w:hAnsi="Times New Roman"/>
          <w:bCs/>
          <w:sz w:val="20"/>
          <w:szCs w:val="20"/>
        </w:rPr>
        <w:t xml:space="preserve"> </w:t>
      </w:r>
      <w:r w:rsidR="0006107D" w:rsidRPr="00AF6608">
        <w:rPr>
          <w:rFonts w:ascii="Times New Roman" w:hAnsi="Times New Roman"/>
          <w:bCs/>
          <w:sz w:val="20"/>
          <w:szCs w:val="20"/>
        </w:rPr>
        <w:t>wpłat</w:t>
      </w:r>
      <w:r w:rsidR="007B0E3C" w:rsidRPr="00AF6608">
        <w:rPr>
          <w:rFonts w:ascii="Times New Roman" w:hAnsi="Times New Roman"/>
          <w:bCs/>
          <w:sz w:val="20"/>
          <w:szCs w:val="20"/>
        </w:rPr>
        <w:t>y</w:t>
      </w:r>
      <w:r w:rsidR="0006107D" w:rsidRPr="00AF6608">
        <w:rPr>
          <w:rFonts w:ascii="Times New Roman" w:hAnsi="Times New Roman"/>
          <w:bCs/>
          <w:sz w:val="20"/>
          <w:szCs w:val="20"/>
        </w:rPr>
        <w:t xml:space="preserve"> z zysku o</w:t>
      </w:r>
      <w:r w:rsidR="00B83D13">
        <w:rPr>
          <w:rFonts w:ascii="Times New Roman" w:hAnsi="Times New Roman"/>
          <w:bCs/>
          <w:sz w:val="20"/>
          <w:szCs w:val="20"/>
        </w:rPr>
        <w:t>d przedsiębiorstw państwowych i </w:t>
      </w:r>
      <w:r w:rsidR="0006107D" w:rsidRPr="00AF6608">
        <w:rPr>
          <w:rFonts w:ascii="Times New Roman" w:hAnsi="Times New Roman"/>
          <w:bCs/>
          <w:sz w:val="20"/>
          <w:szCs w:val="20"/>
        </w:rPr>
        <w:t>jednoosobowych spółek Skarbu Państwa</w:t>
      </w:r>
      <w:r w:rsidR="007B0E3C" w:rsidRPr="00AF6608">
        <w:rPr>
          <w:rFonts w:ascii="Times New Roman" w:hAnsi="Times New Roman"/>
          <w:bCs/>
          <w:sz w:val="20"/>
          <w:szCs w:val="20"/>
        </w:rPr>
        <w:t xml:space="preserve"> </w:t>
      </w:r>
      <w:r w:rsidR="0006107D" w:rsidRPr="00AF6608">
        <w:rPr>
          <w:rFonts w:ascii="Times New Roman" w:hAnsi="Times New Roman"/>
          <w:bCs/>
          <w:sz w:val="20"/>
          <w:szCs w:val="20"/>
        </w:rPr>
        <w:t>oraz dywidend z tytułu udziałów Skarbu Państwa w</w:t>
      </w:r>
      <w:r w:rsidR="00F142BF" w:rsidRPr="00AF6608">
        <w:rPr>
          <w:rFonts w:ascii="Times New Roman" w:hAnsi="Times New Roman"/>
          <w:bCs/>
          <w:sz w:val="20"/>
          <w:szCs w:val="20"/>
        </w:rPr>
        <w:t> </w:t>
      </w:r>
      <w:r w:rsidR="0006107D" w:rsidRPr="00AF6608">
        <w:rPr>
          <w:rFonts w:ascii="Times New Roman" w:hAnsi="Times New Roman"/>
          <w:bCs/>
          <w:sz w:val="20"/>
          <w:szCs w:val="20"/>
        </w:rPr>
        <w:t>spółkach</w:t>
      </w:r>
      <w:r w:rsidR="003B2E14" w:rsidRPr="00AF6608">
        <w:rPr>
          <w:rFonts w:ascii="Times New Roman" w:hAnsi="Times New Roman"/>
          <w:bCs/>
          <w:sz w:val="20"/>
          <w:szCs w:val="20"/>
        </w:rPr>
        <w:t xml:space="preserve"> (</w:t>
      </w:r>
      <w:r w:rsidR="001C13AB" w:rsidRPr="00AF6608">
        <w:rPr>
          <w:rFonts w:ascii="Times New Roman" w:hAnsi="Times New Roman"/>
          <w:bCs/>
          <w:sz w:val="20"/>
          <w:szCs w:val="20"/>
        </w:rPr>
        <w:t xml:space="preserve">wpływy do budżetu państwa z tego tytułu były </w:t>
      </w:r>
      <w:r w:rsidR="005F459E">
        <w:rPr>
          <w:rFonts w:ascii="Times New Roman" w:hAnsi="Times New Roman"/>
          <w:bCs/>
          <w:sz w:val="20"/>
          <w:szCs w:val="20"/>
        </w:rPr>
        <w:t>niższe</w:t>
      </w:r>
      <w:r w:rsidR="0052514A">
        <w:rPr>
          <w:rFonts w:ascii="Times New Roman" w:hAnsi="Times New Roman"/>
          <w:bCs/>
          <w:sz w:val="20"/>
          <w:szCs w:val="20"/>
        </w:rPr>
        <w:t xml:space="preserve"> o </w:t>
      </w:r>
      <w:r w:rsidR="000B2EB1">
        <w:rPr>
          <w:rFonts w:ascii="Times New Roman" w:hAnsi="Times New Roman"/>
          <w:bCs/>
          <w:sz w:val="20"/>
          <w:szCs w:val="20"/>
        </w:rPr>
        <w:t>ok. 56</w:t>
      </w:r>
      <w:r w:rsidR="003F6C6C">
        <w:rPr>
          <w:rFonts w:ascii="Times New Roman" w:hAnsi="Times New Roman"/>
          <w:bCs/>
          <w:sz w:val="20"/>
          <w:szCs w:val="20"/>
        </w:rPr>
        <w:t>%, </w:t>
      </w:r>
      <w:r w:rsidR="001C13AB" w:rsidRPr="00AF6608">
        <w:rPr>
          <w:rFonts w:ascii="Times New Roman" w:hAnsi="Times New Roman"/>
          <w:bCs/>
          <w:sz w:val="20"/>
          <w:szCs w:val="20"/>
        </w:rPr>
        <w:t>r/r</w:t>
      </w:r>
      <w:r w:rsidR="003B2E14" w:rsidRPr="00AF6608">
        <w:rPr>
          <w:rFonts w:ascii="Times New Roman" w:hAnsi="Times New Roman"/>
          <w:bCs/>
          <w:sz w:val="20"/>
          <w:szCs w:val="20"/>
        </w:rPr>
        <w:t>)</w:t>
      </w:r>
      <w:r w:rsidR="0006107D" w:rsidRPr="00AF6608">
        <w:rPr>
          <w:rFonts w:ascii="Times New Roman" w:hAnsi="Times New Roman"/>
          <w:bCs/>
          <w:sz w:val="20"/>
          <w:szCs w:val="20"/>
        </w:rPr>
        <w:t>.</w:t>
      </w:r>
      <w:r w:rsidR="005F459E">
        <w:rPr>
          <w:rFonts w:ascii="Times New Roman" w:hAnsi="Times New Roman"/>
          <w:bCs/>
          <w:sz w:val="20"/>
          <w:szCs w:val="20"/>
        </w:rPr>
        <w:t xml:space="preserve"> Jeszcze większy spadek </w:t>
      </w:r>
      <w:r w:rsidR="00C1170E">
        <w:rPr>
          <w:rFonts w:ascii="Times New Roman" w:hAnsi="Times New Roman"/>
          <w:bCs/>
          <w:sz w:val="20"/>
          <w:szCs w:val="20"/>
        </w:rPr>
        <w:t>zanotowały</w:t>
      </w:r>
      <w:r w:rsidR="005F459E">
        <w:rPr>
          <w:rFonts w:ascii="Times New Roman" w:hAnsi="Times New Roman"/>
          <w:bCs/>
          <w:sz w:val="20"/>
          <w:szCs w:val="20"/>
        </w:rPr>
        <w:t xml:space="preserve"> dochody z tytułu transferów </w:t>
      </w:r>
      <w:r w:rsidR="000B2EB1">
        <w:rPr>
          <w:rFonts w:ascii="Times New Roman" w:hAnsi="Times New Roman"/>
          <w:bCs/>
          <w:sz w:val="20"/>
          <w:szCs w:val="20"/>
        </w:rPr>
        <w:t>kapitałowych</w:t>
      </w:r>
      <w:r w:rsidR="0052514A">
        <w:rPr>
          <w:rFonts w:ascii="Times New Roman" w:hAnsi="Times New Roman"/>
          <w:bCs/>
          <w:sz w:val="20"/>
          <w:szCs w:val="20"/>
        </w:rPr>
        <w:t xml:space="preserve"> (spadek aż o </w:t>
      </w:r>
      <w:r w:rsidR="003F6C6C">
        <w:rPr>
          <w:rFonts w:ascii="Times New Roman" w:hAnsi="Times New Roman"/>
          <w:bCs/>
          <w:sz w:val="20"/>
          <w:szCs w:val="20"/>
        </w:rPr>
        <w:t>66,5</w:t>
      </w:r>
      <w:r w:rsidR="001D1B9F">
        <w:rPr>
          <w:rFonts w:ascii="Times New Roman" w:hAnsi="Times New Roman"/>
          <w:bCs/>
          <w:sz w:val="20"/>
          <w:szCs w:val="20"/>
        </w:rPr>
        <w:t>%</w:t>
      </w:r>
      <w:r w:rsidR="003F6C6C">
        <w:rPr>
          <w:rFonts w:ascii="Times New Roman" w:hAnsi="Times New Roman"/>
          <w:bCs/>
          <w:sz w:val="20"/>
          <w:szCs w:val="20"/>
        </w:rPr>
        <w:t> </w:t>
      </w:r>
      <w:r w:rsidR="00C1170E">
        <w:rPr>
          <w:rFonts w:ascii="Times New Roman" w:hAnsi="Times New Roman"/>
          <w:bCs/>
          <w:sz w:val="20"/>
          <w:szCs w:val="20"/>
        </w:rPr>
        <w:t xml:space="preserve"> r/r), </w:t>
      </w:r>
      <w:r w:rsidR="000B2EB1">
        <w:rPr>
          <w:rFonts w:ascii="Times New Roman" w:hAnsi="Times New Roman"/>
          <w:bCs/>
          <w:sz w:val="20"/>
          <w:szCs w:val="20"/>
        </w:rPr>
        <w:t>za co w głównej mierze odpowiadał bardzo niski napływ środków unijnych (w jednostkach samorządu terytorialnego dochody kapitałowe z tytułu środków unijnych spadły aż o ok. 80% r/r)</w:t>
      </w:r>
      <w:r w:rsidR="003F6C6C">
        <w:rPr>
          <w:rFonts w:ascii="Times New Roman" w:hAnsi="Times New Roman"/>
          <w:bCs/>
          <w:sz w:val="20"/>
          <w:szCs w:val="20"/>
        </w:rPr>
        <w:t>.</w:t>
      </w:r>
    </w:p>
    <w:p w:rsidR="00EF223A" w:rsidRPr="00903C82" w:rsidRDefault="00903C8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4" w:name="_Toc484006832"/>
      <w:r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>
        <w:rPr>
          <w:rFonts w:ascii="Arial" w:hAnsi="Arial" w:cs="Arial"/>
          <w:i w:val="0"/>
          <w:color w:val="E31837"/>
          <w:sz w:val="20"/>
          <w:szCs w:val="20"/>
        </w:rPr>
        <w:t>3</w:t>
      </w:r>
      <w:r>
        <w:rPr>
          <w:rFonts w:ascii="Arial" w:hAnsi="Arial" w:cs="Arial"/>
          <w:i w:val="0"/>
          <w:color w:val="E31837"/>
          <w:sz w:val="20"/>
          <w:szCs w:val="20"/>
        </w:rPr>
        <w:t>. W</w:t>
      </w:r>
      <w:r w:rsidRPr="00903C82">
        <w:rPr>
          <w:rFonts w:ascii="Arial" w:hAnsi="Arial" w:cs="Arial"/>
          <w:i w:val="0"/>
          <w:color w:val="E31837"/>
          <w:sz w:val="20"/>
          <w:szCs w:val="20"/>
        </w:rPr>
        <w:t>ydatki</w:t>
      </w:r>
      <w:bookmarkEnd w:id="4"/>
    </w:p>
    <w:p w:rsidR="00EF223A" w:rsidRDefault="0020557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IV</w:t>
      </w:r>
      <w:r w:rsidR="00F15FF6">
        <w:rPr>
          <w:rFonts w:ascii="Times New Roman" w:hAnsi="Times New Roman"/>
          <w:bCs/>
          <w:sz w:val="20"/>
          <w:szCs w:val="20"/>
        </w:rPr>
        <w:t xml:space="preserve"> kw</w:t>
      </w:r>
      <w:r w:rsidR="003B2E14">
        <w:rPr>
          <w:rFonts w:ascii="Times New Roman" w:hAnsi="Times New Roman"/>
          <w:bCs/>
          <w:sz w:val="20"/>
          <w:szCs w:val="20"/>
        </w:rPr>
        <w:t>.</w:t>
      </w:r>
      <w:r w:rsidR="00B03B2E">
        <w:rPr>
          <w:rFonts w:ascii="Times New Roman" w:hAnsi="Times New Roman"/>
          <w:bCs/>
          <w:sz w:val="20"/>
          <w:szCs w:val="20"/>
        </w:rPr>
        <w:t xml:space="preserve"> 2016</w:t>
      </w:r>
      <w:r w:rsidR="00F15FF6">
        <w:rPr>
          <w:rFonts w:ascii="Times New Roman" w:hAnsi="Times New Roman"/>
          <w:bCs/>
          <w:sz w:val="20"/>
          <w:szCs w:val="20"/>
        </w:rPr>
        <w:t xml:space="preserve"> r. wydatki sektora instytucji rządowych i</w:t>
      </w:r>
      <w:r w:rsidR="00F142BF">
        <w:rPr>
          <w:rFonts w:ascii="Times New Roman" w:hAnsi="Times New Roman"/>
          <w:bCs/>
          <w:sz w:val="20"/>
          <w:szCs w:val="20"/>
        </w:rPr>
        <w:t> </w:t>
      </w:r>
      <w:r w:rsidR="00F15FF6">
        <w:rPr>
          <w:rFonts w:ascii="Times New Roman" w:hAnsi="Times New Roman"/>
          <w:bCs/>
          <w:sz w:val="20"/>
          <w:szCs w:val="20"/>
        </w:rPr>
        <w:t>samorządowych (wg zasad ES</w:t>
      </w:r>
      <w:r w:rsidR="00B03B2E">
        <w:rPr>
          <w:rFonts w:ascii="Times New Roman" w:hAnsi="Times New Roman"/>
          <w:bCs/>
          <w:sz w:val="20"/>
          <w:szCs w:val="20"/>
        </w:rPr>
        <w:t>A2010) wyniosły 216,8</w:t>
      </w:r>
      <w:r w:rsidR="003B2E14">
        <w:rPr>
          <w:rFonts w:ascii="Times New Roman" w:hAnsi="Times New Roman"/>
          <w:bCs/>
          <w:sz w:val="20"/>
          <w:szCs w:val="20"/>
        </w:rPr>
        <w:t> </w:t>
      </w:r>
      <w:r>
        <w:rPr>
          <w:rFonts w:ascii="Times New Roman" w:hAnsi="Times New Roman"/>
          <w:bCs/>
          <w:sz w:val="20"/>
          <w:szCs w:val="20"/>
        </w:rPr>
        <w:t xml:space="preserve">mld zł i były </w:t>
      </w:r>
      <w:r w:rsidR="00C04FFA">
        <w:rPr>
          <w:rFonts w:ascii="Times New Roman" w:hAnsi="Times New Roman"/>
          <w:bCs/>
          <w:sz w:val="20"/>
          <w:szCs w:val="20"/>
        </w:rPr>
        <w:t>niższe o 0,1</w:t>
      </w:r>
      <w:r w:rsidR="00F15FF6">
        <w:rPr>
          <w:rFonts w:ascii="Times New Roman" w:hAnsi="Times New Roman"/>
          <w:bCs/>
          <w:sz w:val="20"/>
          <w:szCs w:val="20"/>
        </w:rPr>
        <w:t>%</w:t>
      </w:r>
      <w:r w:rsidR="003B2E14">
        <w:rPr>
          <w:rFonts w:ascii="Times New Roman" w:hAnsi="Times New Roman"/>
          <w:bCs/>
          <w:sz w:val="20"/>
          <w:szCs w:val="20"/>
        </w:rPr>
        <w:t xml:space="preserve"> r/r</w:t>
      </w:r>
      <w:r w:rsidR="00F15FF6">
        <w:rPr>
          <w:rFonts w:ascii="Times New Roman" w:hAnsi="Times New Roman"/>
          <w:bCs/>
          <w:sz w:val="20"/>
          <w:szCs w:val="20"/>
        </w:rPr>
        <w:t>. Największy udział w wydatkach sektora instytucji rządowych i</w:t>
      </w:r>
      <w:r w:rsidR="00F142BF">
        <w:rPr>
          <w:rFonts w:ascii="Times New Roman" w:hAnsi="Times New Roman"/>
          <w:bCs/>
          <w:sz w:val="20"/>
          <w:szCs w:val="20"/>
        </w:rPr>
        <w:t> </w:t>
      </w:r>
      <w:r w:rsidR="00F15FF6">
        <w:rPr>
          <w:rFonts w:ascii="Times New Roman" w:hAnsi="Times New Roman"/>
          <w:bCs/>
          <w:sz w:val="20"/>
          <w:szCs w:val="20"/>
        </w:rPr>
        <w:t xml:space="preserve">samorządowych mają świadczenia społeczne, wydatki na wynagrodzenia (łącznie ze składkami) oraz wydatki na </w:t>
      </w:r>
      <w:r w:rsidR="000106DF">
        <w:rPr>
          <w:rFonts w:ascii="Times New Roman" w:hAnsi="Times New Roman"/>
          <w:bCs/>
          <w:sz w:val="20"/>
          <w:szCs w:val="20"/>
        </w:rPr>
        <w:t>zakup towarów i usług (zużycie pośrednie)</w:t>
      </w:r>
      <w:r w:rsidR="00F15FF6">
        <w:rPr>
          <w:rFonts w:ascii="Times New Roman" w:hAnsi="Times New Roman"/>
          <w:bCs/>
          <w:sz w:val="20"/>
          <w:szCs w:val="20"/>
        </w:rPr>
        <w:t>.</w:t>
      </w:r>
    </w:p>
    <w:p w:rsidR="00266236" w:rsidRDefault="009E157D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IV</w:t>
      </w:r>
      <w:r w:rsidR="007732CA">
        <w:rPr>
          <w:rFonts w:ascii="Times New Roman" w:hAnsi="Times New Roman"/>
          <w:bCs/>
          <w:sz w:val="20"/>
          <w:szCs w:val="20"/>
        </w:rPr>
        <w:t xml:space="preserve"> kw. 2016</w:t>
      </w:r>
      <w:r w:rsidRPr="000E6C86">
        <w:rPr>
          <w:rFonts w:ascii="Times New Roman" w:hAnsi="Times New Roman"/>
          <w:bCs/>
          <w:sz w:val="20"/>
          <w:szCs w:val="20"/>
        </w:rPr>
        <w:t xml:space="preserve"> r. świadczenia socjalne </w:t>
      </w:r>
      <w:r>
        <w:rPr>
          <w:rFonts w:ascii="Times New Roman" w:hAnsi="Times New Roman"/>
          <w:bCs/>
          <w:sz w:val="20"/>
          <w:szCs w:val="20"/>
        </w:rPr>
        <w:t xml:space="preserve">wzrosły nominalnie o </w:t>
      </w:r>
      <w:r w:rsidR="007732CA">
        <w:rPr>
          <w:rFonts w:ascii="Times New Roman" w:hAnsi="Times New Roman"/>
          <w:bCs/>
          <w:sz w:val="20"/>
          <w:szCs w:val="20"/>
        </w:rPr>
        <w:t>5,2</w:t>
      </w:r>
      <w:r>
        <w:rPr>
          <w:rFonts w:ascii="Times New Roman" w:hAnsi="Times New Roman"/>
          <w:bCs/>
          <w:sz w:val="20"/>
          <w:szCs w:val="20"/>
        </w:rPr>
        <w:t>% r/r,</w:t>
      </w:r>
      <w:r w:rsidRPr="00FC661E">
        <w:t xml:space="preserve"> </w:t>
      </w:r>
      <w:r w:rsidRPr="00FC661E">
        <w:rPr>
          <w:rFonts w:ascii="Times New Roman" w:hAnsi="Times New Roman"/>
          <w:bCs/>
          <w:sz w:val="20"/>
          <w:szCs w:val="20"/>
        </w:rPr>
        <w:t xml:space="preserve">tj. </w:t>
      </w:r>
      <w:r>
        <w:rPr>
          <w:rFonts w:ascii="Times New Roman" w:hAnsi="Times New Roman"/>
          <w:bCs/>
          <w:sz w:val="20"/>
          <w:szCs w:val="20"/>
        </w:rPr>
        <w:t xml:space="preserve">znacznie </w:t>
      </w:r>
      <w:r w:rsidRPr="00FC661E">
        <w:rPr>
          <w:rFonts w:ascii="Times New Roman" w:hAnsi="Times New Roman"/>
          <w:bCs/>
          <w:sz w:val="20"/>
          <w:szCs w:val="20"/>
        </w:rPr>
        <w:t xml:space="preserve">powyżej tempa wzrostu </w:t>
      </w:r>
      <w:r>
        <w:rPr>
          <w:rFonts w:ascii="Times New Roman" w:hAnsi="Times New Roman"/>
          <w:bCs/>
          <w:sz w:val="20"/>
          <w:szCs w:val="20"/>
        </w:rPr>
        <w:t>przeciętnego kwartalnego</w:t>
      </w:r>
      <w:r w:rsidRPr="00FC661E">
        <w:rPr>
          <w:rFonts w:ascii="Times New Roman" w:hAnsi="Times New Roman"/>
          <w:bCs/>
          <w:sz w:val="20"/>
          <w:szCs w:val="20"/>
        </w:rPr>
        <w:t xml:space="preserve"> fundusz</w:t>
      </w:r>
      <w:r>
        <w:rPr>
          <w:rFonts w:ascii="Times New Roman" w:hAnsi="Times New Roman"/>
          <w:bCs/>
          <w:sz w:val="20"/>
          <w:szCs w:val="20"/>
        </w:rPr>
        <w:t>u</w:t>
      </w:r>
      <w:r w:rsidR="00000BC6">
        <w:rPr>
          <w:rFonts w:ascii="Times New Roman" w:hAnsi="Times New Roman"/>
          <w:bCs/>
          <w:sz w:val="20"/>
          <w:szCs w:val="20"/>
        </w:rPr>
        <w:t xml:space="preserve"> emerytur i </w:t>
      </w:r>
      <w:r w:rsidRPr="00FC661E">
        <w:rPr>
          <w:rFonts w:ascii="Times New Roman" w:hAnsi="Times New Roman"/>
          <w:bCs/>
          <w:sz w:val="20"/>
          <w:szCs w:val="20"/>
        </w:rPr>
        <w:t xml:space="preserve">rent (ok. </w:t>
      </w:r>
      <w:r w:rsidR="00E16007">
        <w:rPr>
          <w:rFonts w:ascii="Times New Roman" w:hAnsi="Times New Roman"/>
          <w:bCs/>
          <w:sz w:val="20"/>
          <w:szCs w:val="20"/>
        </w:rPr>
        <w:t>1,7</w:t>
      </w:r>
      <w:r>
        <w:rPr>
          <w:rFonts w:ascii="Times New Roman" w:hAnsi="Times New Roman"/>
          <w:bCs/>
          <w:sz w:val="20"/>
          <w:szCs w:val="20"/>
        </w:rPr>
        <w:t>% r/r), który ma największy udział w tej kategorii.</w:t>
      </w:r>
      <w:r w:rsidRPr="00B43A47">
        <w:rPr>
          <w:rFonts w:ascii="Times New Roman" w:hAnsi="Times New Roman"/>
          <w:bCs/>
          <w:sz w:val="20"/>
          <w:szCs w:val="20"/>
        </w:rPr>
        <w:t xml:space="preserve"> </w:t>
      </w:r>
      <w:r w:rsidR="00266236" w:rsidRPr="00266236">
        <w:rPr>
          <w:rFonts w:ascii="Times New Roman" w:hAnsi="Times New Roman"/>
          <w:bCs/>
          <w:sz w:val="20"/>
          <w:szCs w:val="20"/>
        </w:rPr>
        <w:t>Za wzrost wydatków w omawianej kategorii odpowiadało wprowadzenie w kwietniu 2016 r. nowego świadczenia wychowawczego w ramach Programu „Rodzina 500</w:t>
      </w:r>
      <w:r w:rsidR="00B83D13">
        <w:rPr>
          <w:rFonts w:ascii="Times New Roman" w:hAnsi="Times New Roman"/>
          <w:bCs/>
          <w:sz w:val="20"/>
          <w:szCs w:val="20"/>
        </w:rPr>
        <w:t xml:space="preserve"> plus</w:t>
      </w:r>
      <w:r w:rsidR="00266236" w:rsidRPr="00266236">
        <w:rPr>
          <w:rFonts w:ascii="Times New Roman" w:hAnsi="Times New Roman"/>
          <w:bCs/>
          <w:sz w:val="20"/>
          <w:szCs w:val="20"/>
        </w:rPr>
        <w:t>”.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CE4AD9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C11498" w:rsidRDefault="00CE4AD9" w:rsidP="009E157D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C1149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9E157D" w:rsidRPr="00C1149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4</w:t>
            </w:r>
            <w:r w:rsidRPr="00C1149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wydatków sektora instytucji rządowych i samorządowych w IV kw. 2015 r.</w:t>
            </w:r>
          </w:p>
        </w:tc>
      </w:tr>
      <w:tr w:rsidR="00CE4AD9" w:rsidRPr="00CE4AD9" w:rsidTr="00D55ED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C11498" w:rsidRDefault="000404D4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3202305" cy="1908175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2" t="1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305" cy="190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CE4AD9" w:rsidTr="00415A43">
        <w:tc>
          <w:tcPr>
            <w:tcW w:w="4680" w:type="dxa"/>
          </w:tcPr>
          <w:p w:rsidR="00CE4AD9" w:rsidRPr="00CE4AD9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CE4AD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682D29" w:rsidRDefault="0094645D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A824B9">
        <w:rPr>
          <w:rFonts w:ascii="Times New Roman" w:hAnsi="Times New Roman"/>
          <w:bCs/>
          <w:sz w:val="20"/>
          <w:szCs w:val="20"/>
        </w:rPr>
        <w:t>Wzrost wydatków na zużycie pośrednie (</w:t>
      </w:r>
      <w:r>
        <w:rPr>
          <w:rFonts w:ascii="Times New Roman" w:hAnsi="Times New Roman"/>
          <w:bCs/>
          <w:sz w:val="20"/>
          <w:szCs w:val="20"/>
        </w:rPr>
        <w:t>3,2</w:t>
      </w:r>
      <w:r w:rsidRPr="00A824B9">
        <w:rPr>
          <w:rFonts w:ascii="Times New Roman" w:hAnsi="Times New Roman"/>
          <w:bCs/>
          <w:sz w:val="20"/>
          <w:szCs w:val="20"/>
        </w:rPr>
        <w:t xml:space="preserve">% r/r) </w:t>
      </w:r>
      <w:r>
        <w:rPr>
          <w:rFonts w:ascii="Times New Roman" w:hAnsi="Times New Roman"/>
          <w:bCs/>
          <w:sz w:val="20"/>
          <w:szCs w:val="20"/>
        </w:rPr>
        <w:t>oraz koszty pracy (5,8</w:t>
      </w:r>
      <w:r w:rsidRPr="00A824B9">
        <w:rPr>
          <w:rFonts w:ascii="Times New Roman" w:hAnsi="Times New Roman"/>
          <w:bCs/>
          <w:sz w:val="20"/>
          <w:szCs w:val="20"/>
        </w:rPr>
        <w:t>% r/r</w:t>
      </w:r>
      <w:r>
        <w:rPr>
          <w:rFonts w:ascii="Times New Roman" w:hAnsi="Times New Roman"/>
          <w:bCs/>
          <w:sz w:val="20"/>
          <w:szCs w:val="20"/>
        </w:rPr>
        <w:t xml:space="preserve">) przekroczył poziom inflacji </w:t>
      </w:r>
      <w:r>
        <w:rPr>
          <w:rFonts w:ascii="Times New Roman" w:hAnsi="Times New Roman"/>
          <w:bCs/>
          <w:sz w:val="20"/>
          <w:szCs w:val="20"/>
        </w:rPr>
        <w:lastRenderedPageBreak/>
        <w:t>w </w:t>
      </w:r>
      <w:r w:rsidRPr="00A824B9">
        <w:rPr>
          <w:rFonts w:ascii="Times New Roman" w:hAnsi="Times New Roman"/>
          <w:bCs/>
          <w:sz w:val="20"/>
          <w:szCs w:val="20"/>
        </w:rPr>
        <w:t>omawianym okresie</w:t>
      </w:r>
      <w:r>
        <w:rPr>
          <w:rFonts w:ascii="Times New Roman" w:hAnsi="Times New Roman"/>
          <w:bCs/>
          <w:sz w:val="20"/>
          <w:szCs w:val="20"/>
        </w:rPr>
        <w:t xml:space="preserve"> (0,1% r/r)</w:t>
      </w:r>
      <w:r w:rsidRPr="00A824B9"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C17DC6" w:rsidRPr="00C17DC6">
        <w:rPr>
          <w:rFonts w:ascii="Times New Roman" w:hAnsi="Times New Roman"/>
          <w:bCs/>
          <w:sz w:val="20"/>
          <w:szCs w:val="20"/>
        </w:rPr>
        <w:t xml:space="preserve">Na ograniczenie wzrostu wydatków wpływ miał </w:t>
      </w:r>
      <w:r w:rsidR="00C17DC6">
        <w:rPr>
          <w:rFonts w:ascii="Times New Roman" w:hAnsi="Times New Roman"/>
          <w:bCs/>
          <w:sz w:val="20"/>
          <w:szCs w:val="20"/>
        </w:rPr>
        <w:t xml:space="preserve">spadek inwestycji (nominalnie </w:t>
      </w:r>
      <w:r w:rsidR="00E54688">
        <w:rPr>
          <w:rFonts w:ascii="Times New Roman" w:hAnsi="Times New Roman"/>
          <w:bCs/>
          <w:sz w:val="20"/>
          <w:szCs w:val="20"/>
        </w:rPr>
        <w:t>o 29,5</w:t>
      </w:r>
      <w:r w:rsidR="00813C75">
        <w:rPr>
          <w:rFonts w:ascii="Times New Roman" w:hAnsi="Times New Roman"/>
          <w:bCs/>
          <w:sz w:val="20"/>
          <w:szCs w:val="20"/>
        </w:rPr>
        <w:t>% r/r)</w:t>
      </w:r>
      <w:r w:rsidR="00C17DC6" w:rsidRPr="00C17DC6">
        <w:rPr>
          <w:rFonts w:ascii="Times New Roman" w:hAnsi="Times New Roman"/>
          <w:bCs/>
          <w:sz w:val="20"/>
          <w:szCs w:val="20"/>
        </w:rPr>
        <w:t xml:space="preserve"> </w:t>
      </w:r>
      <w:r w:rsidR="00813C75" w:rsidRPr="00813C75">
        <w:rPr>
          <w:rFonts w:ascii="Times New Roman" w:hAnsi="Times New Roman"/>
          <w:bCs/>
          <w:sz w:val="20"/>
          <w:szCs w:val="20"/>
        </w:rPr>
        <w:t>związany przede wszystkim z zakoń</w:t>
      </w:r>
      <w:r w:rsidR="0052514A">
        <w:rPr>
          <w:rFonts w:ascii="Times New Roman" w:hAnsi="Times New Roman"/>
          <w:bCs/>
          <w:sz w:val="20"/>
          <w:szCs w:val="20"/>
        </w:rPr>
        <w:t>czeniem wykorzystania środków z </w:t>
      </w:r>
      <w:r w:rsidR="00813C75" w:rsidRPr="00813C75">
        <w:rPr>
          <w:rFonts w:ascii="Times New Roman" w:hAnsi="Times New Roman"/>
          <w:bCs/>
          <w:sz w:val="20"/>
          <w:szCs w:val="20"/>
        </w:rPr>
        <w:t>unijnej perspektywy 2007–13</w:t>
      </w:r>
      <w:r w:rsidR="00813C75">
        <w:rPr>
          <w:rFonts w:ascii="Times New Roman" w:hAnsi="Times New Roman"/>
          <w:bCs/>
          <w:sz w:val="20"/>
          <w:szCs w:val="20"/>
        </w:rPr>
        <w:t>.</w:t>
      </w:r>
      <w:r w:rsidR="00280EF7">
        <w:rPr>
          <w:rFonts w:ascii="Times New Roman" w:hAnsi="Times New Roman"/>
          <w:bCs/>
          <w:sz w:val="20"/>
          <w:szCs w:val="20"/>
        </w:rPr>
        <w:t xml:space="preserve"> </w:t>
      </w:r>
      <w:r w:rsidR="00813C75">
        <w:rPr>
          <w:rFonts w:ascii="Times New Roman" w:hAnsi="Times New Roman"/>
          <w:bCs/>
          <w:sz w:val="20"/>
          <w:szCs w:val="20"/>
        </w:rPr>
        <w:t>W samorządach wydatki</w:t>
      </w:r>
      <w:r w:rsidR="00C17DC6" w:rsidRPr="00C17DC6">
        <w:rPr>
          <w:rFonts w:ascii="Times New Roman" w:hAnsi="Times New Roman"/>
          <w:bCs/>
          <w:sz w:val="20"/>
          <w:szCs w:val="20"/>
        </w:rPr>
        <w:t xml:space="preserve"> </w:t>
      </w:r>
      <w:r w:rsidR="00813C75">
        <w:rPr>
          <w:rFonts w:ascii="Times New Roman" w:hAnsi="Times New Roman"/>
          <w:bCs/>
          <w:sz w:val="20"/>
          <w:szCs w:val="20"/>
        </w:rPr>
        <w:t>inwestycyjne</w:t>
      </w:r>
      <w:r w:rsidR="002526AA">
        <w:rPr>
          <w:rFonts w:ascii="Times New Roman" w:hAnsi="Times New Roman"/>
          <w:bCs/>
          <w:sz w:val="20"/>
          <w:szCs w:val="20"/>
        </w:rPr>
        <w:t xml:space="preserve"> spadały aż o </w:t>
      </w:r>
      <w:r w:rsidR="00775A72">
        <w:rPr>
          <w:rFonts w:ascii="Times New Roman" w:hAnsi="Times New Roman"/>
          <w:bCs/>
          <w:sz w:val="20"/>
          <w:szCs w:val="20"/>
        </w:rPr>
        <w:t>21,4%</w:t>
      </w:r>
      <w:r w:rsidR="00C17DC6">
        <w:rPr>
          <w:rFonts w:ascii="Times New Roman" w:hAnsi="Times New Roman"/>
          <w:bCs/>
          <w:sz w:val="20"/>
          <w:szCs w:val="20"/>
        </w:rPr>
        <w:t xml:space="preserve"> </w:t>
      </w:r>
      <w:r w:rsidR="002526AA">
        <w:rPr>
          <w:rFonts w:ascii="Times New Roman" w:hAnsi="Times New Roman"/>
          <w:bCs/>
          <w:sz w:val="20"/>
          <w:szCs w:val="20"/>
        </w:rPr>
        <w:t>r/r (</w:t>
      </w:r>
      <w:r w:rsidR="0090128C" w:rsidRPr="00C17DC6">
        <w:rPr>
          <w:rFonts w:ascii="Times New Roman" w:hAnsi="Times New Roman"/>
          <w:bCs/>
          <w:sz w:val="20"/>
          <w:szCs w:val="20"/>
        </w:rPr>
        <w:t>w ujęciu kasowym</w:t>
      </w:r>
      <w:r w:rsidR="0090128C">
        <w:rPr>
          <w:rFonts w:ascii="Times New Roman" w:hAnsi="Times New Roman"/>
          <w:bCs/>
          <w:sz w:val="20"/>
          <w:szCs w:val="20"/>
        </w:rPr>
        <w:t>)</w:t>
      </w:r>
      <w:r w:rsidR="002526AA">
        <w:rPr>
          <w:rFonts w:ascii="Times New Roman" w:hAnsi="Times New Roman"/>
          <w:bCs/>
          <w:sz w:val="20"/>
          <w:szCs w:val="20"/>
        </w:rPr>
        <w:t>.</w:t>
      </w:r>
      <w:r w:rsidR="0090128C">
        <w:rPr>
          <w:rFonts w:ascii="Times New Roman" w:hAnsi="Times New Roman"/>
          <w:bCs/>
          <w:sz w:val="20"/>
          <w:szCs w:val="20"/>
        </w:rPr>
        <w:t xml:space="preserve"> </w:t>
      </w:r>
      <w:r w:rsidR="00AE30A8">
        <w:rPr>
          <w:rFonts w:ascii="Times New Roman" w:hAnsi="Times New Roman"/>
          <w:bCs/>
          <w:sz w:val="20"/>
          <w:szCs w:val="20"/>
        </w:rPr>
        <w:t xml:space="preserve">Wydatki infrastrukturalne </w:t>
      </w:r>
      <w:r w:rsidR="002526AA">
        <w:rPr>
          <w:rFonts w:ascii="Times New Roman" w:hAnsi="Times New Roman"/>
          <w:bCs/>
          <w:sz w:val="20"/>
          <w:szCs w:val="20"/>
        </w:rPr>
        <w:t>PKP PLK</w:t>
      </w:r>
      <w:r w:rsidR="00AE30A8">
        <w:rPr>
          <w:rFonts w:ascii="Times New Roman" w:hAnsi="Times New Roman"/>
          <w:bCs/>
          <w:sz w:val="20"/>
          <w:szCs w:val="20"/>
        </w:rPr>
        <w:t xml:space="preserve"> </w:t>
      </w:r>
      <w:r w:rsidR="002526AA">
        <w:rPr>
          <w:rFonts w:ascii="Times New Roman" w:hAnsi="Times New Roman"/>
          <w:bCs/>
          <w:sz w:val="20"/>
          <w:szCs w:val="20"/>
        </w:rPr>
        <w:t>spadły</w:t>
      </w:r>
      <w:r w:rsidR="00AE30A8">
        <w:rPr>
          <w:rFonts w:ascii="Times New Roman" w:hAnsi="Times New Roman"/>
          <w:bCs/>
          <w:sz w:val="20"/>
          <w:szCs w:val="20"/>
        </w:rPr>
        <w:t xml:space="preserve"> natomiast aż o </w:t>
      </w:r>
      <w:r w:rsidR="002526AA">
        <w:rPr>
          <w:rFonts w:ascii="Times New Roman" w:hAnsi="Times New Roman"/>
          <w:bCs/>
          <w:sz w:val="20"/>
          <w:szCs w:val="20"/>
        </w:rPr>
        <w:t>29,8</w:t>
      </w:r>
      <w:r w:rsidR="00AE30A8">
        <w:rPr>
          <w:rFonts w:ascii="Times New Roman" w:hAnsi="Times New Roman"/>
          <w:bCs/>
          <w:sz w:val="20"/>
          <w:szCs w:val="20"/>
        </w:rPr>
        <w:t>% r/r</w:t>
      </w:r>
      <w:r w:rsidR="002526AA">
        <w:rPr>
          <w:rFonts w:ascii="Times New Roman" w:hAnsi="Times New Roman"/>
          <w:bCs/>
          <w:sz w:val="20"/>
          <w:szCs w:val="20"/>
        </w:rPr>
        <w:t>.</w:t>
      </w:r>
      <w:r w:rsidR="00433755">
        <w:rPr>
          <w:rFonts w:ascii="Times New Roman" w:hAnsi="Times New Roman"/>
          <w:bCs/>
          <w:sz w:val="20"/>
          <w:szCs w:val="20"/>
        </w:rPr>
        <w:t xml:space="preserve"> </w:t>
      </w:r>
    </w:p>
    <w:p w:rsidR="00000BC6" w:rsidRPr="00D55ED6" w:rsidRDefault="00000BC6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:rsidR="00101324" w:rsidRPr="007A1D9D" w:rsidRDefault="00101324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5" w:name="_Toc484006833"/>
      <w:r>
        <w:rPr>
          <w:rFonts w:ascii="Arial" w:hAnsi="Arial" w:cs="Arial"/>
          <w:color w:val="ADAFB2"/>
          <w:sz w:val="28"/>
          <w:szCs w:val="28"/>
        </w:rPr>
        <w:t>2</w:t>
      </w:r>
      <w:r w:rsidRPr="007A1D9D">
        <w:rPr>
          <w:rFonts w:ascii="Arial" w:hAnsi="Arial" w:cs="Arial"/>
          <w:color w:val="ADAFB2"/>
          <w:sz w:val="28"/>
          <w:szCs w:val="28"/>
        </w:rPr>
        <w:t xml:space="preserve">. </w:t>
      </w:r>
      <w:r w:rsidR="002E28B5">
        <w:rPr>
          <w:rFonts w:ascii="Arial" w:hAnsi="Arial" w:cs="Arial"/>
          <w:color w:val="ADAFB2"/>
          <w:sz w:val="28"/>
          <w:szCs w:val="28"/>
        </w:rPr>
        <w:t>Wynik, d</w:t>
      </w:r>
      <w:r w:rsidRPr="007A1D9D">
        <w:rPr>
          <w:rFonts w:ascii="Arial" w:hAnsi="Arial" w:cs="Arial"/>
          <w:color w:val="ADAFB2"/>
          <w:sz w:val="28"/>
          <w:szCs w:val="28"/>
        </w:rPr>
        <w:t>ochody</w:t>
      </w:r>
      <w:r w:rsidR="002E28B5">
        <w:rPr>
          <w:rFonts w:ascii="Arial" w:hAnsi="Arial" w:cs="Arial"/>
          <w:color w:val="ADAFB2"/>
          <w:sz w:val="28"/>
          <w:szCs w:val="28"/>
        </w:rPr>
        <w:t xml:space="preserve"> oraz</w:t>
      </w:r>
      <w:r w:rsidRPr="007A1D9D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8534B5">
        <w:rPr>
          <w:rFonts w:ascii="Arial" w:hAnsi="Arial" w:cs="Arial"/>
          <w:color w:val="ADAFB2"/>
          <w:sz w:val="28"/>
          <w:szCs w:val="28"/>
        </w:rPr>
        <w:t>w 2016</w:t>
      </w:r>
      <w:r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5"/>
      <w:r w:rsidRPr="007A1D9D">
        <w:rPr>
          <w:rFonts w:ascii="Arial" w:hAnsi="Arial" w:cs="Arial"/>
          <w:color w:val="ADAFB2"/>
          <w:sz w:val="28"/>
          <w:szCs w:val="28"/>
        </w:rPr>
        <w:t xml:space="preserve"> </w:t>
      </w:r>
    </w:p>
    <w:p w:rsidR="00D55ED6" w:rsidRPr="00A5223F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6" w:name="_Toc484006834"/>
      <w:r>
        <w:rPr>
          <w:rFonts w:ascii="Arial" w:hAnsi="Arial" w:cs="Arial"/>
          <w:i w:val="0"/>
          <w:color w:val="E31837"/>
          <w:sz w:val="20"/>
          <w:szCs w:val="20"/>
        </w:rPr>
        <w:t>2.1</w:t>
      </w:r>
      <w:r w:rsidRPr="008F62F1">
        <w:rPr>
          <w:rFonts w:ascii="Arial" w:hAnsi="Arial" w:cs="Arial"/>
          <w:i w:val="0"/>
          <w:color w:val="E31837"/>
          <w:sz w:val="20"/>
          <w:szCs w:val="20"/>
        </w:rPr>
        <w:t>. Wynik</w:t>
      </w:r>
      <w:bookmarkEnd w:id="6"/>
      <w:r w:rsidRPr="008F62F1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D55ED6" w:rsidRPr="00F77622" w:rsidRDefault="00D55ED6" w:rsidP="00D55ED6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W</w:t>
      </w:r>
      <w:r w:rsidR="003846B1">
        <w:rPr>
          <w:rFonts w:ascii="Times New Roman" w:eastAsia="Calibri" w:hAnsi="Times New Roman"/>
          <w:sz w:val="20"/>
          <w:szCs w:val="20"/>
        </w:rPr>
        <w:t xml:space="preserve"> 2016</w:t>
      </w:r>
      <w:r w:rsidRPr="00F77622">
        <w:rPr>
          <w:rFonts w:ascii="Times New Roman" w:eastAsia="Calibri" w:hAnsi="Times New Roman"/>
          <w:sz w:val="20"/>
          <w:szCs w:val="20"/>
        </w:rPr>
        <w:t xml:space="preserve"> r. deficyt sektora instyt</w:t>
      </w:r>
      <w:r w:rsidR="00000BC6">
        <w:rPr>
          <w:rFonts w:ascii="Times New Roman" w:eastAsia="Calibri" w:hAnsi="Times New Roman"/>
          <w:sz w:val="20"/>
          <w:szCs w:val="20"/>
        </w:rPr>
        <w:t>ucji rządowych i </w:t>
      </w:r>
      <w:r>
        <w:rPr>
          <w:rFonts w:ascii="Times New Roman" w:eastAsia="Calibri" w:hAnsi="Times New Roman"/>
          <w:sz w:val="20"/>
          <w:szCs w:val="20"/>
        </w:rPr>
        <w:t xml:space="preserve">samorządowych </w:t>
      </w:r>
      <w:r w:rsidR="003278BA">
        <w:rPr>
          <w:rFonts w:ascii="Times New Roman" w:eastAsia="Calibri" w:hAnsi="Times New Roman"/>
          <w:sz w:val="20"/>
          <w:szCs w:val="20"/>
        </w:rPr>
        <w:t xml:space="preserve">(wg. zasad ESA2010) </w:t>
      </w:r>
      <w:r w:rsidR="003846B1">
        <w:rPr>
          <w:rFonts w:ascii="Times New Roman" w:eastAsia="Calibri" w:hAnsi="Times New Roman"/>
          <w:sz w:val="20"/>
          <w:szCs w:val="20"/>
        </w:rPr>
        <w:t>spadł o 0,2 pkt proc. do 2,4% PKB, tj. 44</w:t>
      </w:r>
      <w:r w:rsidRPr="00F77622">
        <w:rPr>
          <w:rFonts w:ascii="Times New Roman" w:eastAsia="Calibri" w:hAnsi="Times New Roman"/>
          <w:sz w:val="20"/>
          <w:szCs w:val="20"/>
        </w:rPr>
        <w:t>,7 mld zł</w:t>
      </w:r>
      <w:r>
        <w:rPr>
          <w:rStyle w:val="Odwoanieprzypisudolnego"/>
          <w:rFonts w:ascii="Times New Roman" w:eastAsia="Calibri" w:hAnsi="Times New Roman"/>
          <w:sz w:val="20"/>
          <w:szCs w:val="20"/>
        </w:rPr>
        <w:footnoteReference w:id="2"/>
      </w:r>
      <w:r w:rsidRPr="00F77622">
        <w:rPr>
          <w:rFonts w:ascii="Times New Roman" w:eastAsia="Calibri" w:hAnsi="Times New Roman"/>
          <w:sz w:val="20"/>
          <w:szCs w:val="20"/>
        </w:rPr>
        <w:t xml:space="preserve">. </w:t>
      </w:r>
    </w:p>
    <w:p w:rsidR="00D55ED6" w:rsidRPr="00F77622" w:rsidRDefault="00D55ED6" w:rsidP="00D55ED6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F77622">
        <w:rPr>
          <w:rFonts w:ascii="Times New Roman" w:eastAsia="Calibri" w:hAnsi="Times New Roman"/>
          <w:sz w:val="20"/>
          <w:szCs w:val="20"/>
        </w:rPr>
        <w:t xml:space="preserve">Na wielkość deficytu złożyły się: </w:t>
      </w:r>
    </w:p>
    <w:p w:rsidR="00D55ED6" w:rsidRPr="009E157D" w:rsidRDefault="00D55ED6" w:rsidP="009E157D">
      <w:pPr>
        <w:widowControl w:val="0"/>
        <w:numPr>
          <w:ilvl w:val="0"/>
          <w:numId w:val="44"/>
        </w:numPr>
        <w:tabs>
          <w:tab w:val="num" w:pos="220"/>
          <w:tab w:val="num" w:pos="1494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 w:cs="Arial"/>
          <w:sz w:val="20"/>
          <w:szCs w:val="20"/>
        </w:rPr>
      </w:pPr>
      <w:r w:rsidRPr="009E157D">
        <w:rPr>
          <w:rFonts w:ascii="Times New Roman" w:hAnsi="Times New Roman" w:cs="Arial"/>
          <w:sz w:val="20"/>
          <w:szCs w:val="20"/>
        </w:rPr>
        <w:t xml:space="preserve">wynik podsektora centralnego: </w:t>
      </w:r>
      <w:r w:rsidR="003846B1">
        <w:rPr>
          <w:rFonts w:ascii="Times New Roman" w:hAnsi="Times New Roman" w:cs="Arial"/>
          <w:sz w:val="20"/>
          <w:szCs w:val="20"/>
        </w:rPr>
        <w:t>-2,6% PKB ( </w:t>
      </w:r>
      <w:r w:rsidR="003846B1">
        <w:rPr>
          <w:rFonts w:ascii="Times New Roman" w:hAnsi="Times New Roman" w:cs="Arial"/>
          <w:sz w:val="20"/>
          <w:szCs w:val="20"/>
        </w:rPr>
        <w:noBreakHyphen/>
        <w:t>48,2</w:t>
      </w:r>
      <w:r w:rsidRPr="009E157D">
        <w:rPr>
          <w:rFonts w:ascii="Times New Roman" w:hAnsi="Times New Roman" w:cs="Arial"/>
          <w:sz w:val="20"/>
          <w:szCs w:val="20"/>
        </w:rPr>
        <w:t xml:space="preserve"> mld zł), </w:t>
      </w:r>
    </w:p>
    <w:p w:rsidR="00D55ED6" w:rsidRPr="009E157D" w:rsidRDefault="00D55ED6" w:rsidP="009E157D">
      <w:pPr>
        <w:widowControl w:val="0"/>
        <w:numPr>
          <w:ilvl w:val="0"/>
          <w:numId w:val="44"/>
        </w:numPr>
        <w:tabs>
          <w:tab w:val="num" w:pos="220"/>
          <w:tab w:val="num" w:pos="1494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 w:cs="Arial"/>
          <w:sz w:val="20"/>
          <w:szCs w:val="20"/>
        </w:rPr>
      </w:pPr>
      <w:r w:rsidRPr="009E157D">
        <w:rPr>
          <w:rFonts w:ascii="Times New Roman" w:hAnsi="Times New Roman" w:cs="Arial"/>
          <w:sz w:val="20"/>
          <w:szCs w:val="20"/>
        </w:rPr>
        <w:t>wyn</w:t>
      </w:r>
      <w:r w:rsidR="003846B1">
        <w:rPr>
          <w:rFonts w:ascii="Times New Roman" w:hAnsi="Times New Roman" w:cs="Arial"/>
          <w:sz w:val="20"/>
          <w:szCs w:val="20"/>
        </w:rPr>
        <w:t>ik podsektora samorządowego: 0,2% PKB ( 4,5</w:t>
      </w:r>
      <w:r w:rsidRPr="009E157D">
        <w:rPr>
          <w:rFonts w:ascii="Times New Roman" w:hAnsi="Times New Roman" w:cs="Arial"/>
          <w:sz w:val="20"/>
          <w:szCs w:val="20"/>
        </w:rPr>
        <w:t xml:space="preserve"> mld zł), </w:t>
      </w:r>
    </w:p>
    <w:p w:rsidR="00D55ED6" w:rsidRPr="009E157D" w:rsidRDefault="00D55ED6" w:rsidP="009E157D">
      <w:pPr>
        <w:widowControl w:val="0"/>
        <w:numPr>
          <w:ilvl w:val="0"/>
          <w:numId w:val="44"/>
        </w:numPr>
        <w:tabs>
          <w:tab w:val="num" w:pos="220"/>
          <w:tab w:val="num" w:pos="1494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 w:cs="Arial"/>
          <w:sz w:val="20"/>
          <w:szCs w:val="20"/>
        </w:rPr>
      </w:pPr>
      <w:r w:rsidRPr="009E157D">
        <w:rPr>
          <w:rFonts w:ascii="Times New Roman" w:hAnsi="Times New Roman" w:cs="Arial"/>
          <w:sz w:val="20"/>
          <w:szCs w:val="20"/>
        </w:rPr>
        <w:t>wy</w:t>
      </w:r>
      <w:r w:rsidR="003846B1">
        <w:rPr>
          <w:rFonts w:ascii="Times New Roman" w:hAnsi="Times New Roman" w:cs="Arial"/>
          <w:sz w:val="20"/>
          <w:szCs w:val="20"/>
        </w:rPr>
        <w:t>nik podsektora ubezpieczeń: -0,1% PKB ( </w:t>
      </w:r>
      <w:r w:rsidR="003846B1">
        <w:rPr>
          <w:rFonts w:ascii="Times New Roman" w:hAnsi="Times New Roman" w:cs="Arial"/>
          <w:sz w:val="20"/>
          <w:szCs w:val="20"/>
        </w:rPr>
        <w:noBreakHyphen/>
        <w:t>1,1</w:t>
      </w:r>
      <w:r w:rsidRPr="009E157D">
        <w:rPr>
          <w:rFonts w:ascii="Times New Roman" w:hAnsi="Times New Roman" w:cs="Arial"/>
          <w:sz w:val="20"/>
          <w:szCs w:val="20"/>
        </w:rPr>
        <w:t xml:space="preserve"> mld zł). </w:t>
      </w:r>
    </w:p>
    <w:tbl>
      <w:tblPr>
        <w:tblpPr w:leftFromText="141" w:rightFromText="141" w:vertAnchor="text" w:horzAnchor="margin" w:tblpY="132"/>
        <w:tblW w:w="4680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94645D" w:rsidRPr="00434EC4" w:rsidTr="0094645D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94645D" w:rsidRPr="00B07BA5" w:rsidRDefault="0094645D" w:rsidP="0094645D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B07BA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5. Wynik sektora instytucji rządowych i samorządowych ( w % PKB).</w:t>
            </w:r>
          </w:p>
        </w:tc>
      </w:tr>
      <w:tr w:rsidR="0094645D" w:rsidRPr="00434EC4" w:rsidTr="0094645D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94645D" w:rsidRPr="004B1EE6" w:rsidRDefault="000404D4" w:rsidP="0094645D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38450" cy="204851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5D" w:rsidRPr="00434EC4" w:rsidTr="0094645D">
        <w:tc>
          <w:tcPr>
            <w:tcW w:w="4680" w:type="dxa"/>
          </w:tcPr>
          <w:p w:rsidR="0094645D" w:rsidRPr="00B07BA5" w:rsidRDefault="0094645D" w:rsidP="0094645D">
            <w:pPr>
              <w:keepNext/>
              <w:spacing w:before="120" w:after="60" w:line="288" w:lineRule="auto"/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</w:pPr>
            <w:r w:rsidRPr="00434EC4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B07BA5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Dane Eurostat, GUS, obliczenia własne</w:t>
            </w:r>
          </w:p>
        </w:tc>
      </w:tr>
    </w:tbl>
    <w:p w:rsidR="00D55ED6" w:rsidRDefault="00B15516" w:rsidP="00682D29">
      <w:pPr>
        <w:spacing w:before="120" w:after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B15516">
        <w:rPr>
          <w:rFonts w:ascii="Times New Roman" w:eastAsia="Calibri" w:hAnsi="Times New Roman"/>
          <w:sz w:val="20"/>
          <w:szCs w:val="20"/>
        </w:rPr>
        <w:t xml:space="preserve">W 2016 r. nastąpiła poprawa sytuacji sektora instytucji rządowych i samorządowych. Relacja wydatków do PKB ukształtowała się w ubiegłym roku na poziomie </w:t>
      </w:r>
      <w:r w:rsidRPr="00B15516">
        <w:rPr>
          <w:rFonts w:ascii="Times New Roman" w:eastAsia="Calibri" w:hAnsi="Times New Roman"/>
          <w:sz w:val="20"/>
          <w:szCs w:val="20"/>
        </w:rPr>
        <w:lastRenderedPageBreak/>
        <w:t>41,3%, tj. o 0,3 pkt</w:t>
      </w:r>
      <w:r w:rsidR="0052514A">
        <w:rPr>
          <w:rFonts w:ascii="Times New Roman" w:eastAsia="Calibri" w:hAnsi="Times New Roman"/>
          <w:sz w:val="20"/>
          <w:szCs w:val="20"/>
        </w:rPr>
        <w:t xml:space="preserve"> proc. niższym niż w 2015 r., a </w:t>
      </w:r>
      <w:r w:rsidRPr="00B15516">
        <w:rPr>
          <w:rFonts w:ascii="Times New Roman" w:eastAsia="Calibri" w:hAnsi="Times New Roman"/>
          <w:sz w:val="20"/>
          <w:szCs w:val="20"/>
        </w:rPr>
        <w:t>relacja dochodów do PKB odpowiednio na poziomie 38,8% PKB, tj. o 0,2 pkt proc. niższym niż w 2015 r</w:t>
      </w:r>
    </w:p>
    <w:p w:rsidR="00F77622" w:rsidRDefault="00F7762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7" w:name="_Toc484006835"/>
      <w:r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0A6CA0">
        <w:rPr>
          <w:rFonts w:ascii="Arial" w:hAnsi="Arial" w:cs="Arial"/>
          <w:i w:val="0"/>
          <w:color w:val="E31837"/>
          <w:sz w:val="20"/>
          <w:szCs w:val="20"/>
        </w:rPr>
        <w:t>.</w:t>
      </w:r>
      <w:r w:rsidR="00D55ED6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0A6CA0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7"/>
    </w:p>
    <w:p w:rsidR="00F77622" w:rsidRPr="005155AA" w:rsidRDefault="005155AA" w:rsidP="000210F5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5155AA">
        <w:rPr>
          <w:rFonts w:ascii="Times New Roman" w:eastAsia="Calibri" w:hAnsi="Times New Roman"/>
          <w:sz w:val="20"/>
          <w:szCs w:val="20"/>
        </w:rPr>
        <w:t>W 2016</w:t>
      </w:r>
      <w:r w:rsidR="001D71D6" w:rsidRPr="005155AA">
        <w:rPr>
          <w:rFonts w:ascii="Times New Roman" w:eastAsia="Calibri" w:hAnsi="Times New Roman"/>
          <w:sz w:val="20"/>
          <w:szCs w:val="20"/>
        </w:rPr>
        <w:t xml:space="preserve"> r. dochody</w:t>
      </w:r>
      <w:r w:rsidR="00DF31AE" w:rsidRPr="005155AA">
        <w:rPr>
          <w:rFonts w:ascii="Times New Roman" w:eastAsia="Calibri" w:hAnsi="Times New Roman"/>
          <w:sz w:val="20"/>
          <w:szCs w:val="20"/>
        </w:rPr>
        <w:t xml:space="preserve"> sektora instytucji rządowych i </w:t>
      </w:r>
      <w:r w:rsidR="001D71D6" w:rsidRPr="005155AA">
        <w:rPr>
          <w:rFonts w:ascii="Times New Roman" w:eastAsia="Calibri" w:hAnsi="Times New Roman"/>
          <w:sz w:val="20"/>
          <w:szCs w:val="20"/>
        </w:rPr>
        <w:t xml:space="preserve">samorządowych (wg zasad ESA2010) wyniosły </w:t>
      </w:r>
      <w:r w:rsidRPr="005155AA">
        <w:rPr>
          <w:rFonts w:ascii="Times New Roman" w:eastAsia="Calibri" w:hAnsi="Times New Roman"/>
          <w:sz w:val="20"/>
          <w:szCs w:val="20"/>
        </w:rPr>
        <w:t>719,2 </w:t>
      </w:r>
      <w:r w:rsidR="001D71D6" w:rsidRPr="005155AA">
        <w:rPr>
          <w:rFonts w:ascii="Times New Roman" w:eastAsia="Calibri" w:hAnsi="Times New Roman"/>
          <w:sz w:val="20"/>
          <w:szCs w:val="20"/>
        </w:rPr>
        <w:t>mld zł</w:t>
      </w:r>
      <w:r w:rsidRPr="005155AA">
        <w:rPr>
          <w:rFonts w:ascii="Times New Roman" w:eastAsia="Calibri" w:hAnsi="Times New Roman"/>
          <w:sz w:val="20"/>
          <w:szCs w:val="20"/>
        </w:rPr>
        <w:t xml:space="preserve"> (38,8</w:t>
      </w:r>
      <w:r w:rsidR="001D71D6" w:rsidRPr="005155AA">
        <w:rPr>
          <w:rFonts w:ascii="Times New Roman" w:eastAsia="Calibri" w:hAnsi="Times New Roman"/>
          <w:sz w:val="20"/>
          <w:szCs w:val="20"/>
        </w:rPr>
        <w:t xml:space="preserve"> %PKB) i były wyższe od wykonania dochodów w analogicz</w:t>
      </w:r>
      <w:r w:rsidR="00000BC6" w:rsidRPr="005155AA">
        <w:rPr>
          <w:rFonts w:ascii="Times New Roman" w:eastAsia="Calibri" w:hAnsi="Times New Roman"/>
          <w:sz w:val="20"/>
          <w:szCs w:val="20"/>
        </w:rPr>
        <w:t>nym okresie roku poprzedniego o </w:t>
      </w:r>
      <w:r w:rsidRPr="005155AA">
        <w:rPr>
          <w:rFonts w:ascii="Times New Roman" w:eastAsia="Calibri" w:hAnsi="Times New Roman"/>
          <w:sz w:val="20"/>
          <w:szCs w:val="20"/>
        </w:rPr>
        <w:t>2,5</w:t>
      </w:r>
      <w:r w:rsidR="001D71D6" w:rsidRPr="005155AA">
        <w:rPr>
          <w:rFonts w:ascii="Times New Roman" w:eastAsia="Calibri" w:hAnsi="Times New Roman"/>
          <w:sz w:val="20"/>
          <w:szCs w:val="20"/>
        </w:rPr>
        <w:t>% (r/r).</w:t>
      </w:r>
    </w:p>
    <w:p w:rsidR="005155AA" w:rsidRDefault="005155AA" w:rsidP="005155AA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5155AA">
        <w:rPr>
          <w:rFonts w:ascii="Times New Roman" w:eastAsia="Calibri" w:hAnsi="Times New Roman"/>
          <w:sz w:val="20"/>
          <w:szCs w:val="20"/>
        </w:rPr>
        <w:t>W 2016</w:t>
      </w:r>
      <w:r w:rsidR="00F77622" w:rsidRPr="005155AA">
        <w:rPr>
          <w:rFonts w:ascii="Times New Roman" w:eastAsia="Calibri" w:hAnsi="Times New Roman"/>
          <w:sz w:val="20"/>
          <w:szCs w:val="20"/>
        </w:rPr>
        <w:t xml:space="preserve"> r. nastąpił wzrost dochodów sektora pochodzących ze składek na ubezpieczenia społeczne rejestrowanych w podsektorze ubezpieczeń społecznych o ok. 0,4 pkt. proc</w:t>
      </w:r>
      <w:r w:rsidRPr="005155AA">
        <w:rPr>
          <w:rFonts w:ascii="Times New Roman" w:eastAsia="Calibri" w:hAnsi="Times New Roman"/>
          <w:sz w:val="20"/>
          <w:szCs w:val="20"/>
        </w:rPr>
        <w:t>.</w:t>
      </w:r>
      <w:r w:rsidR="00F77622" w:rsidRPr="005155AA">
        <w:rPr>
          <w:rFonts w:ascii="Times New Roman" w:eastAsia="Calibri" w:hAnsi="Times New Roman"/>
          <w:sz w:val="20"/>
          <w:szCs w:val="20"/>
        </w:rPr>
        <w:t xml:space="preserve"> </w:t>
      </w:r>
      <w:r w:rsidRPr="005155AA">
        <w:rPr>
          <w:rFonts w:ascii="Times New Roman" w:eastAsia="Calibri" w:hAnsi="Times New Roman"/>
          <w:sz w:val="20"/>
          <w:szCs w:val="20"/>
        </w:rPr>
        <w:t xml:space="preserve">Wzrost ten był częściowo skutkiem wprowadzenia zmian w systemie emerytalnym </w:t>
      </w:r>
      <w:r w:rsidR="00B83D13" w:rsidRPr="007A70EC">
        <w:rPr>
          <w:rFonts w:ascii="Times New Roman" w:eastAsia="Calibri" w:hAnsi="Times New Roman"/>
          <w:sz w:val="20"/>
          <w:szCs w:val="20"/>
        </w:rPr>
        <w:t>w</w:t>
      </w:r>
      <w:r w:rsidR="000102B5" w:rsidRPr="007A70EC">
        <w:rPr>
          <w:rFonts w:ascii="Times New Roman" w:eastAsia="Calibri" w:hAnsi="Times New Roman"/>
          <w:sz w:val="20"/>
          <w:szCs w:val="20"/>
        </w:rPr>
        <w:t> </w:t>
      </w:r>
      <w:r w:rsidRPr="007A70EC">
        <w:rPr>
          <w:rFonts w:ascii="Times New Roman" w:eastAsia="Calibri" w:hAnsi="Times New Roman"/>
          <w:sz w:val="20"/>
          <w:szCs w:val="20"/>
        </w:rPr>
        <w:t>zakresie</w:t>
      </w:r>
      <w:r w:rsidRPr="005155AA">
        <w:rPr>
          <w:rFonts w:ascii="Times New Roman" w:eastAsia="Calibri" w:hAnsi="Times New Roman"/>
          <w:sz w:val="20"/>
          <w:szCs w:val="20"/>
        </w:rPr>
        <w:t xml:space="preserve"> dobrowolności uczestnictwa w filarze kapitałowym (OFE). Wprowadzone zmiany skutkują wyższą liczbą odprowadzających składki w całości do FUS.</w:t>
      </w:r>
    </w:p>
    <w:p w:rsidR="003B09B7" w:rsidRDefault="003B09B7" w:rsidP="005155AA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3B09B7">
        <w:rPr>
          <w:rFonts w:ascii="Times New Roman" w:eastAsia="Calibri" w:hAnsi="Times New Roman"/>
          <w:sz w:val="20"/>
          <w:szCs w:val="20"/>
        </w:rPr>
        <w:t>W 2016 r. dochody podatkowe wyniosły 20,6% PKB, co oznacza wzrost o 0,8 pkt. proc. w p</w:t>
      </w:r>
      <w:r w:rsidR="000102B5">
        <w:rPr>
          <w:rFonts w:ascii="Times New Roman" w:eastAsia="Calibri" w:hAnsi="Times New Roman"/>
          <w:sz w:val="20"/>
          <w:szCs w:val="20"/>
        </w:rPr>
        <w:t>orównaniu z </w:t>
      </w:r>
      <w:r w:rsidRPr="003B09B7">
        <w:rPr>
          <w:rFonts w:ascii="Times New Roman" w:eastAsia="Calibri" w:hAnsi="Times New Roman"/>
          <w:sz w:val="20"/>
          <w:szCs w:val="20"/>
        </w:rPr>
        <w:t>2015</w:t>
      </w:r>
      <w:r w:rsidR="000102B5">
        <w:rPr>
          <w:rFonts w:ascii="Times New Roman" w:eastAsia="Calibri" w:hAnsi="Times New Roman"/>
          <w:sz w:val="20"/>
          <w:szCs w:val="20"/>
        </w:rPr>
        <w:t> </w:t>
      </w:r>
      <w:r w:rsidRPr="003B09B7">
        <w:rPr>
          <w:rFonts w:ascii="Times New Roman" w:eastAsia="Calibri" w:hAnsi="Times New Roman"/>
          <w:sz w:val="20"/>
          <w:szCs w:val="20"/>
        </w:rPr>
        <w:t xml:space="preserve">r., z tego </w:t>
      </w:r>
      <w:r w:rsidR="000102B5">
        <w:rPr>
          <w:rFonts w:ascii="Times New Roman" w:eastAsia="Calibri" w:hAnsi="Times New Roman"/>
          <w:sz w:val="20"/>
          <w:szCs w:val="20"/>
        </w:rPr>
        <w:t>dochody z podatków związanych z </w:t>
      </w:r>
      <w:r w:rsidRPr="003B09B7">
        <w:rPr>
          <w:rFonts w:ascii="Times New Roman" w:eastAsia="Calibri" w:hAnsi="Times New Roman"/>
          <w:sz w:val="20"/>
          <w:szCs w:val="20"/>
        </w:rPr>
        <w:t>produkcją i importem wzrosły o 0,6 pkt. proc, natomiast z podatków od dochodu, majątku o 0,2 pkt. proc.</w:t>
      </w:r>
    </w:p>
    <w:p w:rsidR="000102B5" w:rsidRDefault="004B1EE6" w:rsidP="004B1EE6">
      <w:pPr>
        <w:widowControl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B1EE6">
        <w:rPr>
          <w:rFonts w:ascii="Times New Roman" w:hAnsi="Times New Roman"/>
          <w:bCs/>
          <w:sz w:val="20"/>
          <w:szCs w:val="20"/>
        </w:rPr>
        <w:t xml:space="preserve">Dochody z tytułu VAT w 2016 r., wg zasad ESA2010, były o 4,1% wyższe niż w 2015 r., </w:t>
      </w:r>
      <w:r w:rsidR="000102B5">
        <w:rPr>
          <w:rFonts w:ascii="Times New Roman" w:hAnsi="Times New Roman"/>
          <w:bCs/>
          <w:sz w:val="20"/>
          <w:szCs w:val="20"/>
        </w:rPr>
        <w:t>tj. powyżej</w:t>
      </w:r>
      <w:r w:rsidRPr="004B1EE6">
        <w:rPr>
          <w:rFonts w:ascii="Times New Roman" w:hAnsi="Times New Roman"/>
          <w:bCs/>
          <w:sz w:val="20"/>
          <w:szCs w:val="20"/>
        </w:rPr>
        <w:t xml:space="preserve"> odnotowanego nominalnego wzrostu spożycia w sektorze gospodarstw domowych </w:t>
      </w:r>
      <w:r w:rsidR="000102B5">
        <w:rPr>
          <w:rFonts w:ascii="Times New Roman" w:hAnsi="Times New Roman"/>
          <w:bCs/>
          <w:sz w:val="20"/>
          <w:szCs w:val="20"/>
        </w:rPr>
        <w:t>-</w:t>
      </w:r>
      <w:r w:rsidRPr="004B1EE6">
        <w:rPr>
          <w:rFonts w:ascii="Times New Roman" w:hAnsi="Times New Roman"/>
          <w:bCs/>
          <w:sz w:val="20"/>
          <w:szCs w:val="20"/>
        </w:rPr>
        <w:t>największej części bazy VAT</w:t>
      </w:r>
      <w:r w:rsidR="000102B5">
        <w:rPr>
          <w:rFonts w:ascii="Times New Roman" w:hAnsi="Times New Roman"/>
          <w:bCs/>
          <w:sz w:val="20"/>
          <w:szCs w:val="20"/>
        </w:rPr>
        <w:t>-</w:t>
      </w:r>
      <w:r w:rsidR="0036475D">
        <w:rPr>
          <w:rFonts w:ascii="Times New Roman" w:hAnsi="Times New Roman"/>
          <w:bCs/>
          <w:sz w:val="20"/>
          <w:szCs w:val="20"/>
        </w:rPr>
        <w:t xml:space="preserve"> na poziomie 3,2% r/r, co przy odnotowaniu ujemnej dynamiki inwestycji i zakupów netto sektora instytucji rządowych i samorządowych, można interpretować jako ograniczenie luki VAT. </w:t>
      </w:r>
      <w:r w:rsidRPr="004B1EE6">
        <w:rPr>
          <w:rFonts w:ascii="Times New Roman" w:hAnsi="Times New Roman"/>
          <w:bCs/>
          <w:sz w:val="20"/>
          <w:szCs w:val="20"/>
        </w:rPr>
        <w:t>Spadek luki podatkowej można wprost interpretować jako zwiększenie stopnia wywiązywan</w:t>
      </w:r>
      <w:r w:rsidR="000102B5">
        <w:rPr>
          <w:rFonts w:ascii="Times New Roman" w:hAnsi="Times New Roman"/>
          <w:bCs/>
          <w:sz w:val="20"/>
          <w:szCs w:val="20"/>
        </w:rPr>
        <w:t xml:space="preserve">ia się z zobowiązań podatkowych i </w:t>
      </w:r>
      <w:r w:rsidRPr="004B1EE6">
        <w:rPr>
          <w:rFonts w:ascii="Times New Roman" w:hAnsi="Times New Roman"/>
          <w:bCs/>
          <w:sz w:val="20"/>
          <w:szCs w:val="20"/>
        </w:rPr>
        <w:t>jest efektem wdrożenia licznych działań mających na celu usz</w:t>
      </w:r>
      <w:r w:rsidR="000102B5">
        <w:rPr>
          <w:rFonts w:ascii="Times New Roman" w:hAnsi="Times New Roman"/>
          <w:bCs/>
          <w:sz w:val="20"/>
          <w:szCs w:val="20"/>
        </w:rPr>
        <w:t>czelnienie systemu podatkowego.</w:t>
      </w:r>
    </w:p>
    <w:p w:rsidR="004B1EE6" w:rsidRPr="004B1EE6" w:rsidRDefault="004B1EE6" w:rsidP="004B1EE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B1EE6">
        <w:rPr>
          <w:rFonts w:ascii="Times New Roman" w:hAnsi="Times New Roman"/>
          <w:bCs/>
          <w:sz w:val="20"/>
          <w:szCs w:val="20"/>
        </w:rPr>
        <w:t>Dochody sektora finansów publicznych z PIT, wg zasad ESA2010, wyniosły w 2016 r. 89,9 mld zł i były wyższe o 7,3%.</w:t>
      </w:r>
    </w:p>
    <w:p w:rsidR="004B1EE6" w:rsidRPr="004B1EE6" w:rsidRDefault="00A94AEA" w:rsidP="004B1EE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Szac</w:t>
      </w:r>
      <w:r w:rsidR="004B1EE6" w:rsidRPr="004B1EE6">
        <w:rPr>
          <w:rFonts w:ascii="Times New Roman" w:hAnsi="Times New Roman"/>
          <w:bCs/>
          <w:sz w:val="20"/>
          <w:szCs w:val="20"/>
        </w:rPr>
        <w:t>uje się, że nominalne tempo wzrostu przeciętnego funduszu wynagrodzeń w gospodarce narodowej oraz emerytur i rent w 2016 r. wyniosło 4,</w:t>
      </w:r>
      <w:r>
        <w:rPr>
          <w:rFonts w:ascii="Times New Roman" w:hAnsi="Times New Roman"/>
          <w:bCs/>
          <w:sz w:val="20"/>
          <w:szCs w:val="20"/>
        </w:rPr>
        <w:t>7</w:t>
      </w:r>
      <w:r w:rsidR="004B1EE6" w:rsidRPr="004B1EE6">
        <w:rPr>
          <w:rFonts w:ascii="Times New Roman" w:hAnsi="Times New Roman"/>
          <w:bCs/>
          <w:sz w:val="20"/>
          <w:szCs w:val="20"/>
        </w:rPr>
        <w:t>% r/r. Wysokie tempo wzrostu dochodów z PIT wynikało z wysokiej dynamiki wpływów podatkowych od osób prowadzą</w:t>
      </w:r>
      <w:r w:rsidR="000102B5">
        <w:rPr>
          <w:rFonts w:ascii="Times New Roman" w:hAnsi="Times New Roman"/>
          <w:bCs/>
          <w:sz w:val="20"/>
          <w:szCs w:val="20"/>
        </w:rPr>
        <w:t>cych działalność gospodarczą. W </w:t>
      </w:r>
      <w:r w:rsidR="004B1EE6" w:rsidRPr="004B1EE6">
        <w:rPr>
          <w:rFonts w:ascii="Times New Roman" w:hAnsi="Times New Roman"/>
          <w:bCs/>
          <w:sz w:val="20"/>
          <w:szCs w:val="20"/>
        </w:rPr>
        <w:t xml:space="preserve">przypadku podatników rozliczających się według liniowej 19% </w:t>
      </w:r>
      <w:r w:rsidR="004B1EE6" w:rsidRPr="004B1EE6">
        <w:rPr>
          <w:rFonts w:ascii="Times New Roman" w:hAnsi="Times New Roman"/>
          <w:bCs/>
          <w:sz w:val="20"/>
          <w:szCs w:val="20"/>
        </w:rPr>
        <w:lastRenderedPageBreak/>
        <w:t>stawki podatku tempo wyniosło 11,6% r/r, a dla opodatkowanych ryczałtem od przychodów ewidencjonowanych tempo wyniosło 10,0% r/r.</w:t>
      </w:r>
    </w:p>
    <w:p w:rsidR="004B1EE6" w:rsidRPr="004B1EE6" w:rsidRDefault="004B1EE6" w:rsidP="004B1EE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B1EE6">
        <w:rPr>
          <w:rFonts w:ascii="Times New Roman" w:hAnsi="Times New Roman"/>
          <w:bCs/>
          <w:sz w:val="20"/>
          <w:szCs w:val="20"/>
        </w:rPr>
        <w:t xml:space="preserve">Wysokie były również dochody z podatku giełdowego, które były wyższe w </w:t>
      </w:r>
      <w:r w:rsidR="000102B5">
        <w:rPr>
          <w:rFonts w:ascii="Times New Roman" w:hAnsi="Times New Roman"/>
          <w:bCs/>
          <w:sz w:val="20"/>
          <w:szCs w:val="20"/>
        </w:rPr>
        <w:t>stosunku do poprzedniego roku o </w:t>
      </w:r>
      <w:r w:rsidRPr="004B1EE6">
        <w:rPr>
          <w:rFonts w:ascii="Times New Roman" w:hAnsi="Times New Roman"/>
          <w:bCs/>
          <w:sz w:val="20"/>
          <w:szCs w:val="20"/>
        </w:rPr>
        <w:t>23,8%. Podatek od zysków kapitałowych płacony jest w rozliczeniu rocznym, to znaczy, że wysokość podatku z tego tytułu, któr</w:t>
      </w:r>
      <w:r w:rsidR="000102B5">
        <w:rPr>
          <w:rFonts w:ascii="Times New Roman" w:hAnsi="Times New Roman"/>
          <w:bCs/>
          <w:sz w:val="20"/>
          <w:szCs w:val="20"/>
        </w:rPr>
        <w:t>a wpłynęła do budżetu państwa w </w:t>
      </w:r>
      <w:r w:rsidRPr="004B1EE6">
        <w:rPr>
          <w:rFonts w:ascii="Times New Roman" w:hAnsi="Times New Roman"/>
          <w:bCs/>
          <w:sz w:val="20"/>
          <w:szCs w:val="20"/>
        </w:rPr>
        <w:t>2016 r. była zależna od wysokości dochodów osiągniętych przez podatników w 2015 r. Wzrost wpływów budżetu państwa z tego tytułu w 2016 r. w stosunku do roku poprzedniego wynika z faktu, że inwestorzy w 2015 r. zrealizowali wyższe zyski z tego tytułu niż w 2014 r.</w:t>
      </w:r>
    </w:p>
    <w:p w:rsidR="004B1EE6" w:rsidRPr="004B1EE6" w:rsidRDefault="004B1EE6" w:rsidP="004B1EE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B1EE6">
        <w:rPr>
          <w:rFonts w:ascii="Times New Roman" w:hAnsi="Times New Roman"/>
          <w:bCs/>
          <w:sz w:val="20"/>
          <w:szCs w:val="20"/>
        </w:rPr>
        <w:t>Niższe niż ubiegłoroczne okazały się wpływy z podatku od odsetek (o 19,2% r/r), co jest związane z utrzymującymi się niskimi stopami procentowymi.</w:t>
      </w:r>
    </w:p>
    <w:p w:rsidR="004B1EE6" w:rsidRPr="004B1EE6" w:rsidRDefault="004B1EE6" w:rsidP="004B1EE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B1EE6">
        <w:rPr>
          <w:rFonts w:ascii="Times New Roman" w:hAnsi="Times New Roman"/>
          <w:bCs/>
          <w:sz w:val="20"/>
          <w:szCs w:val="20"/>
        </w:rPr>
        <w:t>Rozliczenie roczne w PIT za 2015 r. okazało się korzystniejsze dla sektora finansów publicznych niż rozliczenie za 2014 r. Saldo rozliczenia było wyższe o 0,5 mld zł (podatnicy musieli dopłacić o 0,7 mld zł więcej niż w poprzednim roku, budżet państwa musiał zwrócić podatnikom o 0,2 mld zł więcej niż w ubiegłym roku).</w:t>
      </w:r>
    </w:p>
    <w:p w:rsidR="004B1EE6" w:rsidRPr="004B1EE6" w:rsidRDefault="004B1EE6" w:rsidP="004B1EE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B1EE6">
        <w:rPr>
          <w:rFonts w:ascii="Times New Roman" w:hAnsi="Times New Roman"/>
          <w:bCs/>
          <w:sz w:val="20"/>
          <w:szCs w:val="20"/>
        </w:rPr>
        <w:t>Dochody sektora finansów publicznych z CIT, wg zasad ESA2010, wyniosły w 2016 r. 34,3 mld zł i były wyższe o 3,3%. Wykonanie wpływów z podatku CIT było wynikiem lepszej kondycji finansowej przedsiębiorstw niż w 2015 r. Według GUS wynik finansowy brutto przedsiębiorstw niefinansowych zwiększył się o 21,4%, a zysk brutto tych podmiotów wzrósł o 11,8%. Natomiast zgodnie z danymi gromadzonymi przez KNF wynik finansowy b</w:t>
      </w:r>
      <w:r w:rsidR="0052514A">
        <w:rPr>
          <w:rFonts w:ascii="Times New Roman" w:hAnsi="Times New Roman"/>
          <w:bCs/>
          <w:sz w:val="20"/>
          <w:szCs w:val="20"/>
        </w:rPr>
        <w:t>rutto banków w 2016 r. wzrósł o </w:t>
      </w:r>
      <w:r w:rsidRPr="004B1EE6">
        <w:rPr>
          <w:rFonts w:ascii="Times New Roman" w:hAnsi="Times New Roman"/>
          <w:bCs/>
          <w:sz w:val="20"/>
          <w:szCs w:val="20"/>
        </w:rPr>
        <w:t xml:space="preserve">30,4%. </w:t>
      </w:r>
    </w:p>
    <w:p w:rsidR="004B1EE6" w:rsidRPr="004B1EE6" w:rsidRDefault="004B1EE6" w:rsidP="004B1EE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B1EE6">
        <w:rPr>
          <w:rFonts w:ascii="Times New Roman" w:hAnsi="Times New Roman"/>
          <w:bCs/>
          <w:sz w:val="20"/>
          <w:szCs w:val="20"/>
        </w:rPr>
        <w:t>W przypadku rozliczenia rocznego CIT mieliśmy do czynienia z niekorzystnym jego efektem dla sektora finansów publicznych. Według danych Ministerstwa Finansów dotyczących rozliczenia tego podatku za rok 2015, saldo rozliczeń (rozumiane jako różnica kwoty do zapłaty i nadpłaty) wyniosło 1,7 mld zł i w porównaniu do salda z rozliczenia za rok 2014 było niższe o 0,1 mld zł.</w:t>
      </w:r>
    </w:p>
    <w:p w:rsidR="004B1EE6" w:rsidRPr="004B1EE6" w:rsidRDefault="004B1EE6" w:rsidP="004B1EE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B1EE6">
        <w:rPr>
          <w:rFonts w:ascii="Times New Roman" w:hAnsi="Times New Roman"/>
          <w:bCs/>
          <w:sz w:val="20"/>
          <w:szCs w:val="20"/>
        </w:rPr>
        <w:t xml:space="preserve">Dochody z akcyzy, wg zasad ESA2010, wyniosły w 2016 r. 66,5 mld zł i były wyższe o 6,0% w stosunku do poprzedniego roku. Wpływy z podatku od paliw wzrosły o 7,4%, od wyrobów tytoniowych o 4,9%, a od </w:t>
      </w:r>
      <w:r w:rsidRPr="004B1EE6">
        <w:rPr>
          <w:rFonts w:ascii="Times New Roman" w:hAnsi="Times New Roman"/>
          <w:bCs/>
          <w:sz w:val="20"/>
          <w:szCs w:val="20"/>
        </w:rPr>
        <w:lastRenderedPageBreak/>
        <w:t xml:space="preserve">samochodów osobowych o 20,6%. Spadły natomiast dochody z akcyzy </w:t>
      </w:r>
      <w:r w:rsidR="0052514A">
        <w:rPr>
          <w:rFonts w:ascii="Times New Roman" w:hAnsi="Times New Roman"/>
          <w:bCs/>
          <w:sz w:val="20"/>
          <w:szCs w:val="20"/>
        </w:rPr>
        <w:t>od gazu LPG o 17,9% i od wina o </w:t>
      </w:r>
      <w:r w:rsidRPr="004B1EE6">
        <w:rPr>
          <w:rFonts w:ascii="Times New Roman" w:hAnsi="Times New Roman"/>
          <w:bCs/>
          <w:sz w:val="20"/>
          <w:szCs w:val="20"/>
        </w:rPr>
        <w:t xml:space="preserve">6,8%. </w:t>
      </w:r>
    </w:p>
    <w:p w:rsidR="004B1EE6" w:rsidRPr="004B1EE6" w:rsidRDefault="004B1EE6" w:rsidP="004B1EE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B1EE6">
        <w:rPr>
          <w:rFonts w:ascii="Times New Roman" w:hAnsi="Times New Roman"/>
          <w:bCs/>
          <w:sz w:val="20"/>
          <w:szCs w:val="20"/>
        </w:rPr>
        <w:t xml:space="preserve">Korzystną sytuację w 2016 r. można było zaobserwować w podatku akcyzowym od paliw silnikowych. Oficjalna sprzedaż paliw w 2016 r. wzrosła o 15% r/r dla oleju napędowego i o 8% r/r dla benzyn silnikowych. Dla porównania, w 2015 r. oficjalna sprzedaż oleju napędowego wzrosła o 9% r/r, a benzyn silnikowych o 4% r/r. </w:t>
      </w:r>
    </w:p>
    <w:p w:rsidR="004B1EE6" w:rsidRPr="004B1EE6" w:rsidRDefault="004B1EE6" w:rsidP="004B1EE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B1EE6">
        <w:rPr>
          <w:rFonts w:ascii="Times New Roman" w:hAnsi="Times New Roman"/>
          <w:bCs/>
          <w:sz w:val="20"/>
          <w:szCs w:val="20"/>
        </w:rPr>
        <w:t>Poprawę ściągalności zaobserwowano również na rynku wyrobów tytoniowych. W 2016 r. odnotowano wzrost sprzedaży: papierosów</w:t>
      </w:r>
      <w:r w:rsidR="0052514A">
        <w:rPr>
          <w:rFonts w:ascii="Times New Roman" w:hAnsi="Times New Roman"/>
          <w:bCs/>
          <w:sz w:val="20"/>
          <w:szCs w:val="20"/>
        </w:rPr>
        <w:t xml:space="preserve"> o 1,1%, a tytoniu do palenia o </w:t>
      </w:r>
      <w:r w:rsidRPr="004B1EE6">
        <w:rPr>
          <w:rFonts w:ascii="Times New Roman" w:hAnsi="Times New Roman"/>
          <w:bCs/>
          <w:sz w:val="20"/>
          <w:szCs w:val="20"/>
        </w:rPr>
        <w:t>8,3%</w:t>
      </w:r>
      <w:r w:rsidR="00A94AEA">
        <w:rPr>
          <w:rFonts w:ascii="Times New Roman" w:hAnsi="Times New Roman"/>
          <w:bCs/>
          <w:sz w:val="20"/>
          <w:szCs w:val="20"/>
        </w:rPr>
        <w:t>.</w:t>
      </w:r>
      <w:r w:rsidR="0036475D">
        <w:rPr>
          <w:rFonts w:ascii="Times New Roman" w:hAnsi="Times New Roman"/>
          <w:bCs/>
          <w:sz w:val="20"/>
          <w:szCs w:val="20"/>
        </w:rPr>
        <w:t xml:space="preserve"> </w:t>
      </w:r>
      <w:r w:rsidRPr="004B1EE6">
        <w:rPr>
          <w:rFonts w:ascii="Times New Roman" w:hAnsi="Times New Roman"/>
          <w:bCs/>
          <w:sz w:val="20"/>
          <w:szCs w:val="20"/>
        </w:rPr>
        <w:t>W 2016 r., po raz pierwszy od 2013 r., odnotowano wzrost dochodów z akcyzy od wyrobów tytoniowych w ujęciu r/r. Analizując kształtowanie się historycznych trendów oficjalnego spożycia wyrobów akcyzowych, w sz</w:t>
      </w:r>
      <w:r w:rsidR="000C7804">
        <w:rPr>
          <w:rFonts w:ascii="Times New Roman" w:hAnsi="Times New Roman"/>
          <w:bCs/>
          <w:sz w:val="20"/>
          <w:szCs w:val="20"/>
        </w:rPr>
        <w:t>czególności paliw silnikowych i </w:t>
      </w:r>
      <w:r w:rsidRPr="004B1EE6">
        <w:rPr>
          <w:rFonts w:ascii="Times New Roman" w:hAnsi="Times New Roman"/>
          <w:bCs/>
          <w:sz w:val="20"/>
          <w:szCs w:val="20"/>
        </w:rPr>
        <w:t>wyrobów tytoniowych, można ocenić, że wysokie wzrosty dochodów z podatków od wymienionych wyrobów w 2016 r. są również, obok pozytywnych tendencji rynkowych, wynikiem działań uszczelniających system podatkowy</w:t>
      </w:r>
      <w:r w:rsidR="00A94AEA">
        <w:rPr>
          <w:rFonts w:ascii="Times New Roman" w:hAnsi="Times New Roman"/>
          <w:bCs/>
          <w:sz w:val="20"/>
          <w:szCs w:val="20"/>
        </w:rPr>
        <w:t>.</w:t>
      </w:r>
    </w:p>
    <w:p w:rsidR="000974B5" w:rsidRPr="008C5034" w:rsidRDefault="00D55ED6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8" w:name="_Toc484006836"/>
      <w:r w:rsidRPr="008C5034">
        <w:rPr>
          <w:rFonts w:ascii="Arial" w:hAnsi="Arial" w:cs="Arial"/>
          <w:i w:val="0"/>
          <w:color w:val="E31837"/>
          <w:sz w:val="20"/>
          <w:szCs w:val="20"/>
        </w:rPr>
        <w:t>2.3</w:t>
      </w:r>
      <w:r w:rsidR="000974B5" w:rsidRPr="008C5034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8"/>
    </w:p>
    <w:p w:rsidR="003B09B7" w:rsidRDefault="003B09B7" w:rsidP="003B09B7">
      <w:pPr>
        <w:spacing w:before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B09B7">
        <w:rPr>
          <w:rFonts w:ascii="Times New Roman" w:hAnsi="Times New Roman"/>
          <w:bCs/>
          <w:sz w:val="20"/>
          <w:szCs w:val="20"/>
        </w:rPr>
        <w:t>W 2016</w:t>
      </w:r>
      <w:r w:rsidR="000974B5" w:rsidRPr="003B09B7">
        <w:rPr>
          <w:rFonts w:ascii="Times New Roman" w:hAnsi="Times New Roman"/>
          <w:bCs/>
          <w:sz w:val="20"/>
          <w:szCs w:val="20"/>
        </w:rPr>
        <w:t xml:space="preserve"> r. wydatki sektora instytucji rządowych i samorządowych (wg zasad ESA2010) wyniosły </w:t>
      </w:r>
      <w:r w:rsidRPr="003B09B7">
        <w:rPr>
          <w:rFonts w:ascii="Times New Roman" w:hAnsi="Times New Roman"/>
          <w:bCs/>
          <w:sz w:val="20"/>
          <w:szCs w:val="20"/>
        </w:rPr>
        <w:t>763,9</w:t>
      </w:r>
      <w:r w:rsidR="000974B5" w:rsidRPr="003B09B7">
        <w:rPr>
          <w:rFonts w:ascii="Times New Roman" w:hAnsi="Times New Roman"/>
          <w:bCs/>
          <w:sz w:val="20"/>
          <w:szCs w:val="20"/>
        </w:rPr>
        <w:t> </w:t>
      </w:r>
      <w:r w:rsidR="00A5223F" w:rsidRPr="003B09B7">
        <w:rPr>
          <w:rFonts w:ascii="Times New Roman" w:hAnsi="Times New Roman"/>
          <w:bCs/>
          <w:sz w:val="20"/>
          <w:szCs w:val="20"/>
        </w:rPr>
        <w:t>mld zł (4</w:t>
      </w:r>
      <w:r w:rsidRPr="003B09B7">
        <w:rPr>
          <w:rFonts w:ascii="Times New Roman" w:hAnsi="Times New Roman"/>
          <w:bCs/>
          <w:sz w:val="20"/>
          <w:szCs w:val="20"/>
        </w:rPr>
        <w:t>1,3</w:t>
      </w:r>
      <w:r w:rsidR="00A5223F" w:rsidRPr="003B09B7">
        <w:rPr>
          <w:rFonts w:ascii="Times New Roman" w:hAnsi="Times New Roman"/>
          <w:bCs/>
          <w:sz w:val="20"/>
          <w:szCs w:val="20"/>
        </w:rPr>
        <w:t>% PKB)</w:t>
      </w:r>
      <w:r w:rsidR="000974B5" w:rsidRPr="003B09B7">
        <w:rPr>
          <w:rFonts w:ascii="Times New Roman" w:hAnsi="Times New Roman"/>
          <w:bCs/>
          <w:sz w:val="20"/>
          <w:szCs w:val="20"/>
        </w:rPr>
        <w:t xml:space="preserve"> i były wyższe od wykonania wydatków w analogicznym okresie roku poprzedniego </w:t>
      </w:r>
      <w:r w:rsidR="00F71641" w:rsidRPr="003B09B7">
        <w:rPr>
          <w:rFonts w:ascii="Times New Roman" w:hAnsi="Times New Roman"/>
          <w:bCs/>
          <w:sz w:val="20"/>
          <w:szCs w:val="20"/>
        </w:rPr>
        <w:t xml:space="preserve">tylko </w:t>
      </w:r>
      <w:r w:rsidR="000974B5" w:rsidRPr="003B09B7">
        <w:rPr>
          <w:rFonts w:ascii="Times New Roman" w:hAnsi="Times New Roman"/>
          <w:bCs/>
          <w:sz w:val="20"/>
          <w:szCs w:val="20"/>
        </w:rPr>
        <w:t xml:space="preserve">o </w:t>
      </w:r>
      <w:r w:rsidRPr="003B09B7">
        <w:rPr>
          <w:rFonts w:ascii="Times New Roman" w:hAnsi="Times New Roman"/>
          <w:bCs/>
          <w:sz w:val="20"/>
          <w:szCs w:val="20"/>
        </w:rPr>
        <w:t>2,</w:t>
      </w:r>
      <w:r w:rsidR="000102B5">
        <w:rPr>
          <w:rFonts w:ascii="Times New Roman" w:hAnsi="Times New Roman"/>
          <w:bCs/>
          <w:sz w:val="20"/>
          <w:szCs w:val="20"/>
        </w:rPr>
        <w:t>2</w:t>
      </w:r>
      <w:r w:rsidR="000974B5" w:rsidRPr="003B09B7">
        <w:rPr>
          <w:rFonts w:ascii="Times New Roman" w:hAnsi="Times New Roman"/>
          <w:bCs/>
          <w:sz w:val="20"/>
          <w:szCs w:val="20"/>
        </w:rPr>
        <w:t>% (r/r).</w:t>
      </w:r>
    </w:p>
    <w:p w:rsidR="003B09B7" w:rsidRDefault="003B09B7" w:rsidP="003B09B7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3B09B7">
        <w:rPr>
          <w:rFonts w:ascii="Times New Roman" w:eastAsia="Calibri" w:hAnsi="Times New Roman"/>
          <w:sz w:val="20"/>
          <w:szCs w:val="20"/>
        </w:rPr>
        <w:t>Głównym czynnikiem determinującym kształtowanie się wydatków w 2016 r. był wzrost wydatków na świadczenia społeczne i wychowawcze (program Rodzina 500 plus). W 2016 r. odnotowano spadek inwestycji</w:t>
      </w:r>
      <w:r w:rsidR="000C7804">
        <w:rPr>
          <w:rFonts w:ascii="Times New Roman" w:eastAsia="Calibri" w:hAnsi="Times New Roman"/>
          <w:sz w:val="20"/>
          <w:szCs w:val="20"/>
        </w:rPr>
        <w:t xml:space="preserve"> sektora instytucji rządowych i </w:t>
      </w:r>
      <w:r w:rsidRPr="003B09B7">
        <w:rPr>
          <w:rFonts w:ascii="Times New Roman" w:eastAsia="Calibri" w:hAnsi="Times New Roman"/>
          <w:sz w:val="20"/>
          <w:szCs w:val="20"/>
        </w:rPr>
        <w:t xml:space="preserve">samorządowych nominalnie aż o 22,3 % r/r (w relacji do PKB spadek aż o 1,1 pkt. proc.). </w:t>
      </w:r>
    </w:p>
    <w:p w:rsidR="005C5661" w:rsidRDefault="003B09B7" w:rsidP="005C5661">
      <w:pPr>
        <w:jc w:val="both"/>
        <w:rPr>
          <w:rFonts w:ascii="Times New Roman" w:eastAsia="Calibri" w:hAnsi="Times New Roman"/>
          <w:sz w:val="20"/>
          <w:szCs w:val="20"/>
        </w:rPr>
      </w:pPr>
      <w:r w:rsidRPr="005C5661">
        <w:rPr>
          <w:rFonts w:ascii="Times New Roman" w:eastAsia="Calibri" w:hAnsi="Times New Roman"/>
          <w:sz w:val="20"/>
          <w:szCs w:val="20"/>
        </w:rPr>
        <w:t>Największy wzrost wydatków dotyczył obszaru świadczeń społecznych. W 2016 r. wydatki na świadczenia społeczne inne niż tra</w:t>
      </w:r>
      <w:r w:rsidR="000C7804" w:rsidRPr="005C5661">
        <w:rPr>
          <w:rFonts w:ascii="Times New Roman" w:eastAsia="Calibri" w:hAnsi="Times New Roman"/>
          <w:sz w:val="20"/>
          <w:szCs w:val="20"/>
        </w:rPr>
        <w:t>nsfery socjalne w </w:t>
      </w:r>
      <w:r w:rsidRPr="005C5661">
        <w:rPr>
          <w:rFonts w:ascii="Times New Roman" w:eastAsia="Calibri" w:hAnsi="Times New Roman"/>
          <w:sz w:val="20"/>
          <w:szCs w:val="20"/>
        </w:rPr>
        <w:t>naturze w relacji do PKB wzrosły aż o 1,0 pkt. proc. Głównym powodem tak znaczącego wzrostu wydatków socjalnych było wprowadzenie od 1 kwietnia 2016 r. rządowego programu wsparcia dla rodzin Rodzina 500 plus. W 2016 r. odnotowano także nieznaczny wzrost spożycia publicznego,</w:t>
      </w:r>
      <w:r w:rsidR="0036475D" w:rsidRPr="005C5661">
        <w:rPr>
          <w:rFonts w:ascii="Times New Roman" w:eastAsia="Calibri" w:hAnsi="Times New Roman"/>
          <w:sz w:val="20"/>
          <w:szCs w:val="20"/>
        </w:rPr>
        <w:t xml:space="preserve"> w ujęciu nominalnym zaledwie o </w:t>
      </w:r>
      <w:r w:rsidRPr="005C5661">
        <w:rPr>
          <w:rFonts w:ascii="Times New Roman" w:eastAsia="Calibri" w:hAnsi="Times New Roman"/>
          <w:sz w:val="20"/>
          <w:szCs w:val="20"/>
        </w:rPr>
        <w:t xml:space="preserve">2,2% r/r (wobec 3,8% r/r w 2015 r.), a w relacji do </w:t>
      </w:r>
      <w:r w:rsidRPr="005C5661">
        <w:rPr>
          <w:rFonts w:ascii="Times New Roman" w:eastAsia="Calibri" w:hAnsi="Times New Roman"/>
          <w:sz w:val="20"/>
          <w:szCs w:val="20"/>
        </w:rPr>
        <w:lastRenderedPageBreak/>
        <w:t>PKB spadek o ok. 0,1 pkt. proc. Ograniczenie spożycia publicznego w relacji do PKB było wynikiem spadku wydatków na zakupy towarów i usług realizowanych przez jednostki</w:t>
      </w:r>
      <w:r w:rsidR="000C7804" w:rsidRPr="005C5661">
        <w:rPr>
          <w:rFonts w:ascii="Times New Roman" w:eastAsia="Calibri" w:hAnsi="Times New Roman"/>
          <w:sz w:val="20"/>
          <w:szCs w:val="20"/>
        </w:rPr>
        <w:t xml:space="preserve"> sektora instytucji rządowych i </w:t>
      </w:r>
      <w:r w:rsidRPr="005C5661">
        <w:rPr>
          <w:rFonts w:ascii="Times New Roman" w:eastAsia="Calibri" w:hAnsi="Times New Roman"/>
          <w:sz w:val="20"/>
          <w:szCs w:val="20"/>
        </w:rPr>
        <w:t>samorządowych, w relacji do PKB o ok. 0,1 pkt. proc. Wydatki na koszty pracy w relacji do PKB w 2016 r. wzrosły o ok. 0,1 pkt. proc., co spowodowane było wzrostem wynagrodzeń w podsektorze rządowym.</w:t>
      </w:r>
    </w:p>
    <w:p w:rsidR="005C5661" w:rsidRDefault="005C5661" w:rsidP="005C5661">
      <w:pPr>
        <w:jc w:val="both"/>
        <w:rPr>
          <w:rFonts w:ascii="Times New Roman" w:eastAsia="Calibri" w:hAnsi="Times New Roman"/>
          <w:sz w:val="20"/>
          <w:szCs w:val="20"/>
        </w:rPr>
      </w:pPr>
    </w:p>
    <w:p w:rsidR="00D55FD4" w:rsidRPr="005C5661" w:rsidRDefault="000E4111" w:rsidP="005C5661">
      <w:pPr>
        <w:pStyle w:val="Nagwek1"/>
        <w:spacing w:before="120" w:line="288" w:lineRule="auto"/>
      </w:pPr>
      <w:r w:rsidRPr="005C5661">
        <w:rPr>
          <w:rFonts w:ascii="Times New Roman" w:eastAsia="Calibri" w:hAnsi="Times New Roman"/>
          <w:sz w:val="20"/>
          <w:szCs w:val="20"/>
        </w:rPr>
        <w:br w:type="page"/>
      </w:r>
      <w:bookmarkStart w:id="9" w:name="_Toc378241155"/>
      <w:bookmarkStart w:id="10" w:name="_Toc472594681"/>
      <w:bookmarkStart w:id="11" w:name="_Toc484006837"/>
      <w:r w:rsidR="00D55FD4" w:rsidRPr="005C5661">
        <w:rPr>
          <w:rFonts w:ascii="Arial" w:hAnsi="Arial" w:cs="Arial"/>
          <w:color w:val="ADAFB2"/>
          <w:sz w:val="28"/>
          <w:szCs w:val="28"/>
        </w:rPr>
        <w:lastRenderedPageBreak/>
        <w:t xml:space="preserve">3. </w:t>
      </w:r>
      <w:bookmarkEnd w:id="9"/>
      <w:r w:rsidR="00D55FD4" w:rsidRPr="005C5661"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10"/>
      <w:bookmarkEnd w:id="11"/>
    </w:p>
    <w:p w:rsidR="00D55FD4" w:rsidRPr="00DC1BE1" w:rsidRDefault="00D55FD4" w:rsidP="00D55FD4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2" w:name="_Toc472594682"/>
      <w:bookmarkStart w:id="13" w:name="_Toc484006838"/>
      <w:r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DC1BE1">
        <w:rPr>
          <w:rFonts w:ascii="Arial" w:hAnsi="Arial" w:cs="Arial"/>
          <w:i w:val="0"/>
          <w:color w:val="E31837"/>
          <w:sz w:val="20"/>
          <w:szCs w:val="20"/>
        </w:rPr>
        <w:t>.1. Dług sektora instytucji rządowych i samorządowych (wg definicji UE)</w:t>
      </w:r>
      <w:bookmarkEnd w:id="12"/>
      <w:bookmarkEnd w:id="13"/>
    </w:p>
    <w:p w:rsidR="00D55FD4" w:rsidRPr="00205096" w:rsidRDefault="00D55FD4" w:rsidP="00D55FD4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 w:cs="Arial"/>
          <w:sz w:val="20"/>
          <w:szCs w:val="20"/>
        </w:rPr>
        <w:t xml:space="preserve">Na koniec 2016 r. dług sektora instytucji rządowych i samorządowych (dług EDP) stanowiący jeden z elementów kryterium fiskalnego z </w:t>
      </w:r>
      <w:proofErr w:type="spellStart"/>
      <w:r w:rsidRPr="00205096">
        <w:rPr>
          <w:rFonts w:ascii="Times New Roman" w:hAnsi="Times New Roman" w:cs="Arial"/>
          <w:sz w:val="20"/>
          <w:szCs w:val="20"/>
        </w:rPr>
        <w:t>Maastricht</w:t>
      </w:r>
      <w:proofErr w:type="spellEnd"/>
      <w:r w:rsidRPr="00205096">
        <w:rPr>
          <w:rFonts w:ascii="Times New Roman" w:hAnsi="Times New Roman" w:cs="Arial"/>
          <w:sz w:val="20"/>
          <w:szCs w:val="20"/>
        </w:rPr>
        <w:t xml:space="preserve"> wyniósł </w:t>
      </w:r>
      <w:r>
        <w:rPr>
          <w:rFonts w:ascii="Times New Roman" w:hAnsi="Times New Roman" w:cs="Arial"/>
          <w:sz w:val="20"/>
          <w:szCs w:val="20"/>
        </w:rPr>
        <w:t>1.006</w:t>
      </w:r>
      <w:r w:rsidRPr="00205096">
        <w:rPr>
          <w:rFonts w:ascii="Times New Roman" w:hAnsi="Times New Roman" w:cs="Arial"/>
          <w:sz w:val="20"/>
          <w:szCs w:val="20"/>
        </w:rPr>
        <w:t>,</w:t>
      </w:r>
      <w:r>
        <w:rPr>
          <w:rFonts w:ascii="Times New Roman" w:hAnsi="Times New Roman" w:cs="Arial"/>
          <w:sz w:val="20"/>
          <w:szCs w:val="20"/>
        </w:rPr>
        <w:t>3</w:t>
      </w:r>
      <w:r w:rsidRPr="00205096">
        <w:rPr>
          <w:rFonts w:ascii="Times New Roman" w:hAnsi="Times New Roman" w:cs="Arial"/>
          <w:sz w:val="20"/>
          <w:szCs w:val="20"/>
        </w:rPr>
        <w:t xml:space="preserve"> mld zł</w:t>
      </w:r>
      <w:r>
        <w:rPr>
          <w:rFonts w:ascii="Times New Roman" w:hAnsi="Times New Roman" w:cs="Arial"/>
          <w:sz w:val="20"/>
          <w:szCs w:val="20"/>
        </w:rPr>
        <w:t xml:space="preserve"> </w:t>
      </w:r>
      <w:r w:rsidRPr="00B0737B">
        <w:rPr>
          <w:rFonts w:ascii="Times New Roman" w:hAnsi="Times New Roman" w:cs="Arial"/>
          <w:sz w:val="20"/>
          <w:szCs w:val="20"/>
        </w:rPr>
        <w:t>(5</w:t>
      </w:r>
      <w:r>
        <w:rPr>
          <w:rFonts w:ascii="Times New Roman" w:hAnsi="Times New Roman" w:cs="Arial"/>
          <w:sz w:val="20"/>
          <w:szCs w:val="20"/>
        </w:rPr>
        <w:t>4</w:t>
      </w:r>
      <w:r w:rsidRPr="00B0737B">
        <w:rPr>
          <w:rFonts w:ascii="Times New Roman" w:hAnsi="Times New Roman" w:cs="Arial"/>
          <w:sz w:val="20"/>
          <w:szCs w:val="20"/>
        </w:rPr>
        <w:t>,</w:t>
      </w:r>
      <w:r>
        <w:rPr>
          <w:rFonts w:ascii="Times New Roman" w:hAnsi="Times New Roman" w:cs="Arial"/>
          <w:sz w:val="20"/>
          <w:szCs w:val="20"/>
        </w:rPr>
        <w:t>4</w:t>
      </w:r>
      <w:r w:rsidRPr="00B0737B">
        <w:rPr>
          <w:rFonts w:ascii="Times New Roman" w:hAnsi="Times New Roman" w:cs="Arial"/>
          <w:sz w:val="20"/>
          <w:szCs w:val="20"/>
        </w:rPr>
        <w:t>% PKB)</w:t>
      </w:r>
      <w:r w:rsidRPr="00205096">
        <w:rPr>
          <w:rFonts w:ascii="Times New Roman" w:hAnsi="Times New Roman" w:cs="Arial"/>
          <w:sz w:val="20"/>
          <w:szCs w:val="20"/>
        </w:rPr>
        <w:t xml:space="preserve"> i </w:t>
      </w:r>
      <w:r w:rsidRPr="001325E9">
        <w:rPr>
          <w:rFonts w:ascii="Times New Roman" w:hAnsi="Times New Roman" w:cs="Arial"/>
          <w:sz w:val="20"/>
          <w:szCs w:val="20"/>
        </w:rPr>
        <w:t>w porównaniu z końcem III kw. 201</w:t>
      </w:r>
      <w:r>
        <w:rPr>
          <w:rFonts w:ascii="Times New Roman" w:hAnsi="Times New Roman" w:cs="Arial"/>
          <w:sz w:val="20"/>
          <w:szCs w:val="20"/>
        </w:rPr>
        <w:t>6</w:t>
      </w:r>
      <w:r w:rsidRPr="001325E9">
        <w:rPr>
          <w:rFonts w:ascii="Times New Roman" w:hAnsi="Times New Roman" w:cs="Arial"/>
          <w:sz w:val="20"/>
          <w:szCs w:val="20"/>
        </w:rPr>
        <w:t xml:space="preserve"> r. wzrósł o </w:t>
      </w:r>
      <w:r>
        <w:rPr>
          <w:rFonts w:ascii="Times New Roman" w:hAnsi="Times New Roman" w:cs="Arial"/>
          <w:sz w:val="20"/>
          <w:szCs w:val="20"/>
        </w:rPr>
        <w:t>27,9</w:t>
      </w:r>
      <w:r w:rsidRPr="001325E9">
        <w:rPr>
          <w:rFonts w:ascii="Times New Roman" w:hAnsi="Times New Roman" w:cs="Arial"/>
          <w:sz w:val="20"/>
          <w:szCs w:val="20"/>
        </w:rPr>
        <w:t xml:space="preserve"> mld zł (</w:t>
      </w:r>
      <w:r>
        <w:rPr>
          <w:rFonts w:ascii="Times New Roman" w:hAnsi="Times New Roman" w:cs="Arial"/>
          <w:sz w:val="20"/>
          <w:szCs w:val="20"/>
        </w:rPr>
        <w:t>2,8</w:t>
      </w:r>
      <w:r w:rsidRPr="001325E9">
        <w:rPr>
          <w:rFonts w:ascii="Times New Roman" w:hAnsi="Times New Roman" w:cs="Arial"/>
          <w:sz w:val="20"/>
          <w:szCs w:val="20"/>
        </w:rPr>
        <w:t xml:space="preserve">%), a od początku roku o </w:t>
      </w:r>
      <w:r>
        <w:rPr>
          <w:rFonts w:ascii="Times New Roman" w:hAnsi="Times New Roman" w:cs="Arial"/>
          <w:sz w:val="20"/>
          <w:szCs w:val="20"/>
        </w:rPr>
        <w:t>86,7</w:t>
      </w:r>
      <w:r w:rsidRPr="001325E9">
        <w:rPr>
          <w:rFonts w:ascii="Times New Roman" w:hAnsi="Times New Roman" w:cs="Arial"/>
          <w:sz w:val="20"/>
          <w:szCs w:val="20"/>
        </w:rPr>
        <w:t xml:space="preserve"> mld zł (</w:t>
      </w:r>
      <w:r>
        <w:rPr>
          <w:rFonts w:ascii="Times New Roman" w:hAnsi="Times New Roman" w:cs="Arial"/>
          <w:sz w:val="20"/>
          <w:szCs w:val="20"/>
        </w:rPr>
        <w:t>9,4</w:t>
      </w:r>
      <w:r w:rsidRPr="001325E9">
        <w:rPr>
          <w:rFonts w:ascii="Times New Roman" w:hAnsi="Times New Roman" w:cs="Arial"/>
          <w:sz w:val="20"/>
          <w:szCs w:val="20"/>
        </w:rPr>
        <w:t>%).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FD4" w:rsidRPr="00205096" w:rsidTr="00AB30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55FD4" w:rsidRPr="00205096" w:rsidRDefault="00B07BA5" w:rsidP="00B07BA5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B07BA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6</w:t>
            </w:r>
            <w:r w:rsidR="00D55FD4" w:rsidRPr="00B07BA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Dług EDP</w:t>
            </w:r>
          </w:p>
        </w:tc>
      </w:tr>
      <w:tr w:rsidR="00D55FD4" w:rsidRPr="00205096" w:rsidTr="00AB3077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:rsidR="00D55FD4" w:rsidRPr="00205096" w:rsidRDefault="000404D4" w:rsidP="00AB3077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82265" cy="208470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265" cy="208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FD4" w:rsidRPr="00205096" w:rsidTr="00AB3077">
        <w:tc>
          <w:tcPr>
            <w:tcW w:w="4680" w:type="dxa"/>
          </w:tcPr>
          <w:p w:rsidR="00D55FD4" w:rsidRPr="00205096" w:rsidRDefault="00D55FD4" w:rsidP="00B07BA5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05096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D55FD4" w:rsidRPr="00205096" w:rsidRDefault="00D55FD4" w:rsidP="00D55FD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Na dług EDP złożyło się zadłużenie podsektora:</w:t>
      </w:r>
    </w:p>
    <w:p w:rsidR="00D55FD4" w:rsidRPr="00205096" w:rsidRDefault="00D55FD4" w:rsidP="00D55FD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rządowego 9</w:t>
      </w:r>
      <w:r>
        <w:rPr>
          <w:rFonts w:ascii="Times New Roman" w:hAnsi="Times New Roman"/>
          <w:sz w:val="20"/>
          <w:szCs w:val="20"/>
        </w:rPr>
        <w:t>34</w:t>
      </w:r>
      <w:r w:rsidRPr="00205096">
        <w:rPr>
          <w:rFonts w:ascii="Times New Roman" w:hAnsi="Times New Roman"/>
          <w:sz w:val="20"/>
          <w:szCs w:val="20"/>
        </w:rPr>
        <w:t xml:space="preserve">,9 mld zł  </w:t>
      </w:r>
      <w:r w:rsidRPr="001325E9">
        <w:rPr>
          <w:rFonts w:ascii="Times New Roman" w:hAnsi="Times New Roman"/>
          <w:sz w:val="20"/>
          <w:szCs w:val="20"/>
        </w:rPr>
        <w:t xml:space="preserve">(wzrost o </w:t>
      </w:r>
      <w:r>
        <w:rPr>
          <w:rFonts w:ascii="Times New Roman" w:hAnsi="Times New Roman"/>
          <w:sz w:val="20"/>
          <w:szCs w:val="20"/>
        </w:rPr>
        <w:t>29,0</w:t>
      </w:r>
      <w:r w:rsidRPr="001325E9">
        <w:rPr>
          <w:rFonts w:ascii="Times New Roman" w:hAnsi="Times New Roman"/>
          <w:sz w:val="20"/>
          <w:szCs w:val="20"/>
        </w:rPr>
        <w:t xml:space="preserve"> mld zł w IV kw. i </w:t>
      </w:r>
      <w:r>
        <w:rPr>
          <w:rFonts w:ascii="Times New Roman" w:hAnsi="Times New Roman"/>
          <w:sz w:val="20"/>
          <w:szCs w:val="20"/>
        </w:rPr>
        <w:t>89,0</w:t>
      </w:r>
      <w:r w:rsidRPr="001325E9">
        <w:rPr>
          <w:rFonts w:ascii="Times New Roman" w:hAnsi="Times New Roman"/>
          <w:sz w:val="20"/>
          <w:szCs w:val="20"/>
        </w:rPr>
        <w:t xml:space="preserve"> mld zł od początku roku)</w:t>
      </w:r>
      <w:r w:rsidRPr="00205096">
        <w:rPr>
          <w:rFonts w:ascii="Times New Roman" w:hAnsi="Times New Roman"/>
          <w:sz w:val="20"/>
          <w:szCs w:val="20"/>
        </w:rPr>
        <w:t>,</w:t>
      </w:r>
    </w:p>
    <w:p w:rsidR="00D55FD4" w:rsidRPr="00205096" w:rsidRDefault="00D55FD4" w:rsidP="00D55FD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samorządowego 7</w:t>
      </w:r>
      <w:r>
        <w:rPr>
          <w:rFonts w:ascii="Times New Roman" w:hAnsi="Times New Roman"/>
          <w:sz w:val="20"/>
          <w:szCs w:val="20"/>
        </w:rPr>
        <w:t>1</w:t>
      </w:r>
      <w:r w:rsidRPr="0020509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4 mld zł, </w:t>
      </w:r>
      <w:r w:rsidRPr="001325E9">
        <w:rPr>
          <w:rFonts w:ascii="Times New Roman" w:hAnsi="Times New Roman"/>
          <w:sz w:val="20"/>
          <w:szCs w:val="20"/>
        </w:rPr>
        <w:t xml:space="preserve">(wzrost o </w:t>
      </w:r>
      <w:r>
        <w:rPr>
          <w:rFonts w:ascii="Times New Roman" w:hAnsi="Times New Roman"/>
          <w:sz w:val="20"/>
          <w:szCs w:val="20"/>
        </w:rPr>
        <w:t>0,7</w:t>
      </w:r>
      <w:r w:rsidR="000C7804">
        <w:rPr>
          <w:rFonts w:ascii="Times New Roman" w:hAnsi="Times New Roman"/>
          <w:sz w:val="20"/>
          <w:szCs w:val="20"/>
        </w:rPr>
        <w:t xml:space="preserve"> mld zł w </w:t>
      </w:r>
      <w:r w:rsidRPr="001325E9">
        <w:rPr>
          <w:rFonts w:ascii="Times New Roman" w:hAnsi="Times New Roman"/>
          <w:sz w:val="20"/>
          <w:szCs w:val="20"/>
        </w:rPr>
        <w:t xml:space="preserve">IV kw. i </w:t>
      </w:r>
      <w:r>
        <w:rPr>
          <w:rFonts w:ascii="Times New Roman" w:hAnsi="Times New Roman"/>
          <w:sz w:val="20"/>
          <w:szCs w:val="20"/>
        </w:rPr>
        <w:t>spadek o 2,3</w:t>
      </w:r>
      <w:r w:rsidRPr="001325E9">
        <w:rPr>
          <w:rFonts w:ascii="Times New Roman" w:hAnsi="Times New Roman"/>
          <w:sz w:val="20"/>
          <w:szCs w:val="20"/>
        </w:rPr>
        <w:t xml:space="preserve"> mld zł od początku roku)</w:t>
      </w:r>
      <w:r w:rsidRPr="00205096">
        <w:rPr>
          <w:rFonts w:ascii="Times New Roman" w:hAnsi="Times New Roman"/>
          <w:sz w:val="20"/>
          <w:szCs w:val="20"/>
        </w:rPr>
        <w:t>,</w:t>
      </w:r>
    </w:p>
    <w:p w:rsidR="00D55FD4" w:rsidRPr="00205096" w:rsidRDefault="00D55FD4" w:rsidP="00D55FD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:rsidR="00D55FD4" w:rsidRPr="00205096" w:rsidRDefault="00D55FD4" w:rsidP="00C94F3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Zmiana długu EDP w 2016 r. wynikała głównie ze zmian zadłużenia SP. Ponadto innymi znaczącymi czynnikami były:</w:t>
      </w:r>
    </w:p>
    <w:p w:rsidR="00D55FD4" w:rsidRDefault="00D55FD4" w:rsidP="00C94F3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9117B">
        <w:rPr>
          <w:rFonts w:ascii="Times New Roman" w:hAnsi="Times New Roman"/>
          <w:sz w:val="20"/>
          <w:szCs w:val="20"/>
        </w:rPr>
        <w:t>wzrost zadłużenia Krajowego Funduszu Drogowego (o 5,</w:t>
      </w:r>
      <w:r>
        <w:rPr>
          <w:rFonts w:ascii="Times New Roman" w:hAnsi="Times New Roman"/>
          <w:sz w:val="20"/>
          <w:szCs w:val="20"/>
        </w:rPr>
        <w:t>2</w:t>
      </w:r>
      <w:r w:rsidRPr="00D9117B">
        <w:rPr>
          <w:rFonts w:ascii="Times New Roman" w:hAnsi="Times New Roman"/>
          <w:sz w:val="20"/>
          <w:szCs w:val="20"/>
        </w:rPr>
        <w:t xml:space="preserve"> mln zł),</w:t>
      </w:r>
    </w:p>
    <w:p w:rsidR="00D55FD4" w:rsidRPr="00205096" w:rsidRDefault="00D55FD4" w:rsidP="00C94F3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 xml:space="preserve">spadek zadłużenia przedsiębiorstw zaliczonych do sektora instytucji rządowych i samorządowych o </w:t>
      </w:r>
      <w:r>
        <w:rPr>
          <w:rFonts w:ascii="Times New Roman" w:hAnsi="Times New Roman"/>
          <w:sz w:val="20"/>
          <w:szCs w:val="20"/>
        </w:rPr>
        <w:t>1,4</w:t>
      </w:r>
      <w:r w:rsidRPr="00205096">
        <w:rPr>
          <w:rFonts w:ascii="Times New Roman" w:hAnsi="Times New Roman"/>
          <w:sz w:val="20"/>
          <w:szCs w:val="20"/>
        </w:rPr>
        <w:t xml:space="preserve"> mld zł),</w:t>
      </w:r>
    </w:p>
    <w:p w:rsidR="00D55FD4" w:rsidRPr="00205096" w:rsidRDefault="00D55FD4" w:rsidP="00C94F3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wzrost portfela skarbowych papierów wartościowych posiadanych przez Bankowy</w:t>
      </w:r>
      <w:r>
        <w:rPr>
          <w:rFonts w:ascii="Times New Roman" w:hAnsi="Times New Roman"/>
          <w:sz w:val="20"/>
          <w:szCs w:val="20"/>
        </w:rPr>
        <w:t xml:space="preserve"> Fundusz Gwarancyjny (łącznie z </w:t>
      </w:r>
      <w:r w:rsidRPr="00205096">
        <w:rPr>
          <w:rFonts w:ascii="Times New Roman" w:hAnsi="Times New Roman"/>
          <w:sz w:val="20"/>
          <w:szCs w:val="20"/>
        </w:rPr>
        <w:t>funduszem oc</w:t>
      </w:r>
      <w:r>
        <w:rPr>
          <w:rFonts w:ascii="Times New Roman" w:hAnsi="Times New Roman"/>
          <w:sz w:val="20"/>
          <w:szCs w:val="20"/>
        </w:rPr>
        <w:t xml:space="preserve">hrony środków gwarantowanych) </w:t>
      </w:r>
      <w:r w:rsidRPr="0060787A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4</w:t>
      </w:r>
      <w:r w:rsidRPr="00205096">
        <w:rPr>
          <w:rFonts w:ascii="Times New Roman" w:hAnsi="Times New Roman"/>
          <w:sz w:val="20"/>
          <w:szCs w:val="20"/>
        </w:rPr>
        <w:t>,1 mld zł, co</w:t>
      </w:r>
      <w:r>
        <w:rPr>
          <w:rFonts w:ascii="Times New Roman" w:hAnsi="Times New Roman"/>
          <w:sz w:val="20"/>
          <w:szCs w:val="20"/>
        </w:rPr>
        <w:t xml:space="preserve"> spowodowało spadek długu EDP </w:t>
      </w:r>
      <w:r w:rsidRPr="0060787A">
        <w:rPr>
          <w:rFonts w:ascii="Times New Roman" w:hAnsi="Times New Roman"/>
          <w:sz w:val="20"/>
          <w:szCs w:val="20"/>
        </w:rPr>
        <w:t>w wyniku</w:t>
      </w:r>
      <w:r w:rsidRPr="00205096">
        <w:rPr>
          <w:rFonts w:ascii="Times New Roman" w:hAnsi="Times New Roman"/>
          <w:sz w:val="20"/>
          <w:szCs w:val="20"/>
        </w:rPr>
        <w:t xml:space="preserve"> </w:t>
      </w:r>
      <w:r w:rsidRPr="00205096">
        <w:rPr>
          <w:rFonts w:ascii="Times New Roman" w:hAnsi="Times New Roman"/>
          <w:sz w:val="20"/>
          <w:szCs w:val="20"/>
        </w:rPr>
        <w:lastRenderedPageBreak/>
        <w:t>zwiększenia konsolidacji wzajemny</w:t>
      </w:r>
      <w:r>
        <w:rPr>
          <w:rFonts w:ascii="Times New Roman" w:hAnsi="Times New Roman"/>
          <w:sz w:val="20"/>
          <w:szCs w:val="20"/>
        </w:rPr>
        <w:t>ch zobowiązań jednostek sektora.</w:t>
      </w:r>
    </w:p>
    <w:p w:rsidR="00D55FD4" w:rsidRPr="00205096" w:rsidRDefault="00D55FD4" w:rsidP="00D55FD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 xml:space="preserve">Największy udział w </w:t>
      </w:r>
      <w:r w:rsidRPr="00205096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205096">
        <w:rPr>
          <w:rFonts w:ascii="Times New Roman" w:hAnsi="Times New Roman"/>
          <w:sz w:val="20"/>
          <w:szCs w:val="20"/>
        </w:rPr>
        <w:t>dług Skarbu Państwa (SP).</w:t>
      </w:r>
    </w:p>
    <w:p w:rsidR="00D55FD4" w:rsidRPr="00205096" w:rsidRDefault="00D55FD4" w:rsidP="00D55FD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koniec IV kw. 2016 r. dług SP wyniósł 928</w:t>
      </w:r>
      <w:r w:rsidRPr="00205096">
        <w:rPr>
          <w:rFonts w:ascii="Times New Roman" w:hAnsi="Times New Roman"/>
          <w:sz w:val="20"/>
          <w:szCs w:val="20"/>
        </w:rPr>
        <w:t>,7</w:t>
      </w:r>
      <w:r>
        <w:rPr>
          <w:rFonts w:ascii="Times New Roman" w:hAnsi="Times New Roman"/>
          <w:sz w:val="20"/>
          <w:szCs w:val="20"/>
        </w:rPr>
        <w:t xml:space="preserve"> mld zł, co oznaczało wzrost o 26,0 mld zł (2,9</w:t>
      </w:r>
      <w:r w:rsidRPr="00205096">
        <w:rPr>
          <w:rFonts w:ascii="Times New Roman" w:hAnsi="Times New Roman"/>
          <w:sz w:val="20"/>
          <w:szCs w:val="20"/>
        </w:rPr>
        <w:t>%) względem</w:t>
      </w:r>
      <w:r>
        <w:rPr>
          <w:rFonts w:ascii="Times New Roman" w:hAnsi="Times New Roman"/>
          <w:sz w:val="20"/>
          <w:szCs w:val="20"/>
        </w:rPr>
        <w:t xml:space="preserve"> poprzedniego kwartału oraz o 94,1 mld zł (11,3</w:t>
      </w:r>
      <w:r w:rsidRPr="00205096">
        <w:rPr>
          <w:rFonts w:ascii="Times New Roman" w:hAnsi="Times New Roman"/>
          <w:sz w:val="20"/>
          <w:szCs w:val="20"/>
        </w:rPr>
        <w:t xml:space="preserve">%) wobec końca 2015 roku. </w:t>
      </w:r>
    </w:p>
    <w:p w:rsidR="00D55FD4" w:rsidRPr="00205096" w:rsidRDefault="00D55FD4" w:rsidP="00D55FD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Wzrost długu SP w IV </w:t>
      </w:r>
      <w:r w:rsidRPr="00205096">
        <w:rPr>
          <w:rFonts w:ascii="Times New Roman" w:hAnsi="Times New Roman"/>
          <w:sz w:val="20"/>
          <w:szCs w:val="20"/>
        </w:rPr>
        <w:t>kw. 2016 r. był przede wszystkim wypadkową:</w:t>
      </w:r>
    </w:p>
    <w:p w:rsidR="00D55FD4" w:rsidRDefault="00D55FD4" w:rsidP="00D55FD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finansowania potrzeb pożyczkowych netto budżetu państwa (+36,6 mld zł), w tym deficytu budżetu państwa (+25,7 mld zł);</w:t>
      </w:r>
    </w:p>
    <w:p w:rsidR="00D55FD4" w:rsidRPr="00205096" w:rsidRDefault="00D55FD4" w:rsidP="00D55FD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zmniejszenia </w:t>
      </w:r>
      <w:r w:rsidRPr="00205096">
        <w:rPr>
          <w:rFonts w:ascii="Times New Roman" w:hAnsi="Times New Roman"/>
          <w:sz w:val="20"/>
          <w:szCs w:val="20"/>
        </w:rPr>
        <w:t>stanu środków na rachun</w:t>
      </w:r>
      <w:r>
        <w:rPr>
          <w:rFonts w:ascii="Times New Roman" w:hAnsi="Times New Roman"/>
          <w:sz w:val="20"/>
          <w:szCs w:val="20"/>
        </w:rPr>
        <w:t>kach budżetowych (-23,4 mld zł);</w:t>
      </w:r>
    </w:p>
    <w:p w:rsidR="00D55FD4" w:rsidRPr="00205096" w:rsidRDefault="00D55FD4" w:rsidP="00D55FD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różnic kursowych (+9</w:t>
      </w:r>
      <w:r w:rsidRPr="00205096">
        <w:rPr>
          <w:rFonts w:ascii="Times New Roman" w:hAnsi="Times New Roman"/>
          <w:sz w:val="20"/>
          <w:szCs w:val="20"/>
        </w:rPr>
        <w:t>,9 mld zł).</w:t>
      </w:r>
    </w:p>
    <w:p w:rsidR="00D55FD4" w:rsidRPr="00205096" w:rsidRDefault="00D55FD4" w:rsidP="00D55FD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Wzrost długu SP od początku 2016 r. był przede wszystkim wynikiem:</w:t>
      </w:r>
    </w:p>
    <w:p w:rsidR="00D55FD4" w:rsidRPr="003B0E30" w:rsidRDefault="00D55FD4" w:rsidP="00D55FD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3B0E30">
        <w:rPr>
          <w:rFonts w:ascii="Times New Roman" w:hAnsi="Times New Roman"/>
          <w:sz w:val="20"/>
          <w:szCs w:val="20"/>
        </w:rPr>
        <w:t>finansowania deficytu budżetu państwa              (+46,3 mld zł) i deficytu budżetu środków europejskich (+12,6 mld zł);</w:t>
      </w:r>
    </w:p>
    <w:p w:rsidR="00D55FD4" w:rsidRPr="003B0E30" w:rsidRDefault="00D55FD4" w:rsidP="00D55FD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3B0E30">
        <w:rPr>
          <w:rFonts w:ascii="Times New Roman" w:hAnsi="Times New Roman"/>
          <w:sz w:val="20"/>
          <w:szCs w:val="20"/>
        </w:rPr>
        <w:t>osłabienia złotego (+14,9 mld zł)</w:t>
      </w:r>
      <w:r>
        <w:rPr>
          <w:rFonts w:ascii="Times New Roman" w:hAnsi="Times New Roman"/>
          <w:sz w:val="20"/>
          <w:szCs w:val="20"/>
        </w:rPr>
        <w:t>;</w:t>
      </w:r>
      <w:r w:rsidRPr="003B0E30">
        <w:rPr>
          <w:rFonts w:ascii="Times New Roman" w:hAnsi="Times New Roman"/>
          <w:sz w:val="20"/>
          <w:szCs w:val="20"/>
        </w:rPr>
        <w:t xml:space="preserve"> </w:t>
      </w:r>
    </w:p>
    <w:p w:rsidR="00D55FD4" w:rsidRPr="003B0E30" w:rsidRDefault="00D55FD4" w:rsidP="00D55FD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3B0E30">
        <w:rPr>
          <w:rFonts w:ascii="Times New Roman" w:hAnsi="Times New Roman"/>
          <w:sz w:val="20"/>
          <w:szCs w:val="20"/>
        </w:rPr>
        <w:t>wzrostu stanu środków na rachunkach budżetowych (+14,6 mld zł) związanego z gromadzeniem środków na fina</w:t>
      </w:r>
      <w:r w:rsidR="000C7804">
        <w:rPr>
          <w:rFonts w:ascii="Times New Roman" w:hAnsi="Times New Roman"/>
          <w:sz w:val="20"/>
          <w:szCs w:val="20"/>
        </w:rPr>
        <w:t>nsowanie potrzeb pożyczkowych w </w:t>
      </w:r>
      <w:r w:rsidRPr="003B0E30">
        <w:rPr>
          <w:rFonts w:ascii="Times New Roman" w:hAnsi="Times New Roman"/>
          <w:sz w:val="20"/>
          <w:szCs w:val="20"/>
        </w:rPr>
        <w:t>2017 r.</w:t>
      </w:r>
    </w:p>
    <w:p w:rsidR="00D55FD4" w:rsidRPr="00205096" w:rsidRDefault="00D55FD4" w:rsidP="00D55FD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koniec IV</w:t>
      </w:r>
      <w:r w:rsidRPr="00205096">
        <w:rPr>
          <w:rFonts w:ascii="Times New Roman" w:hAnsi="Times New Roman"/>
          <w:sz w:val="20"/>
          <w:szCs w:val="20"/>
        </w:rPr>
        <w:t xml:space="preserve"> kw. 2016 r. udział długu w walutach obcych w całym</w:t>
      </w:r>
      <w:r>
        <w:rPr>
          <w:rFonts w:ascii="Times New Roman" w:hAnsi="Times New Roman"/>
          <w:sz w:val="20"/>
          <w:szCs w:val="20"/>
        </w:rPr>
        <w:t xml:space="preserve"> długu SP wyniósł 34,4% wobec 33,2</w:t>
      </w:r>
      <w:r w:rsidRPr="00205096">
        <w:rPr>
          <w:rFonts w:ascii="Times New Roman" w:hAnsi="Times New Roman"/>
          <w:sz w:val="20"/>
          <w:szCs w:val="20"/>
        </w:rPr>
        <w:t>% na koniec I</w:t>
      </w:r>
      <w:r>
        <w:rPr>
          <w:rFonts w:ascii="Times New Roman" w:hAnsi="Times New Roman"/>
          <w:sz w:val="20"/>
          <w:szCs w:val="20"/>
        </w:rPr>
        <w:t>I</w:t>
      </w:r>
      <w:r w:rsidRPr="00205096">
        <w:rPr>
          <w:rFonts w:ascii="Times New Roman" w:hAnsi="Times New Roman"/>
          <w:sz w:val="20"/>
          <w:szCs w:val="20"/>
        </w:rPr>
        <w:t>I kw. 2016 r. i 34,9% na koniec 2015 r.</w:t>
      </w:r>
    </w:p>
    <w:p w:rsidR="00D55FD4" w:rsidRDefault="00D55FD4" w:rsidP="00D55FD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Udział długu wobec nierezyde</w:t>
      </w:r>
      <w:r>
        <w:rPr>
          <w:rFonts w:ascii="Times New Roman" w:hAnsi="Times New Roman"/>
          <w:sz w:val="20"/>
          <w:szCs w:val="20"/>
        </w:rPr>
        <w:t>ntów w długu ogółem na koniec IV</w:t>
      </w:r>
      <w:r w:rsidRPr="00205096">
        <w:rPr>
          <w:rFonts w:ascii="Times New Roman" w:hAnsi="Times New Roman"/>
          <w:sz w:val="20"/>
          <w:szCs w:val="20"/>
        </w:rPr>
        <w:t xml:space="preserve"> kw</w:t>
      </w:r>
      <w:r>
        <w:rPr>
          <w:rFonts w:ascii="Times New Roman" w:hAnsi="Times New Roman"/>
          <w:sz w:val="20"/>
          <w:szCs w:val="20"/>
        </w:rPr>
        <w:t>. 2016 r. wyniósł 53,4% wobec 53,7</w:t>
      </w:r>
      <w:r w:rsidRPr="00205096">
        <w:rPr>
          <w:rFonts w:ascii="Times New Roman" w:hAnsi="Times New Roman"/>
          <w:sz w:val="20"/>
          <w:szCs w:val="20"/>
        </w:rPr>
        <w:t>% na koniec I</w:t>
      </w:r>
      <w:r>
        <w:rPr>
          <w:rFonts w:ascii="Times New Roman" w:hAnsi="Times New Roman"/>
          <w:sz w:val="20"/>
          <w:szCs w:val="20"/>
        </w:rPr>
        <w:t>I</w:t>
      </w:r>
      <w:r w:rsidRPr="00205096">
        <w:rPr>
          <w:rFonts w:ascii="Times New Roman" w:hAnsi="Times New Roman"/>
          <w:sz w:val="20"/>
          <w:szCs w:val="20"/>
        </w:rPr>
        <w:t>I kw. i 58,1% na koniec 2015 r.</w:t>
      </w:r>
    </w:p>
    <w:p w:rsidR="00D55FD4" w:rsidRPr="00D55FD4" w:rsidRDefault="00D55FD4" w:rsidP="00D55FD4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4" w:name="_Toc484006839"/>
      <w:r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D55FD4">
        <w:rPr>
          <w:rFonts w:ascii="Arial" w:hAnsi="Arial" w:cs="Arial"/>
          <w:i w:val="0"/>
          <w:color w:val="E31837"/>
          <w:sz w:val="20"/>
          <w:szCs w:val="20"/>
        </w:rPr>
        <w:t xml:space="preserve">.2. Potrzeby pożyczkowe budżetu państwa </w:t>
      </w:r>
      <w:r w:rsidRPr="00D55FD4">
        <w:rPr>
          <w:rFonts w:ascii="Arial" w:hAnsi="Arial" w:cs="Arial"/>
          <w:i w:val="0"/>
          <w:color w:val="E31837"/>
          <w:sz w:val="20"/>
          <w:szCs w:val="20"/>
        </w:rPr>
        <w:br/>
        <w:t>i ich finansowanie w IV kwartale 2016 r.</w:t>
      </w:r>
      <w:bookmarkEnd w:id="14"/>
    </w:p>
    <w:p w:rsidR="00D55FD4" w:rsidRPr="00D55FD4" w:rsidRDefault="00D55FD4" w:rsidP="00C94F32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Potrzeby pożyczkowe netto budżetu państwa ukształtowały się na poziomie 36,6 mld zł, w tym: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deficyt budżetu państwa: 25,7 mld zł,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deficyt budżetu środków europejskich 6,0 mld zł,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transfery do OFE: 0,7 mld zł,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kredyty i pożyczki udzielone 1,4 mld zł,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zarządzanie płynnością sektora finansów publicznych 0,8 mld zł,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zarządzanie środkami europejskimi 2,0 mld zł,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płatności związane z udziałami SP w MIF 0,1</w:t>
      </w:r>
      <w:r>
        <w:rPr>
          <w:rFonts w:ascii="Times New Roman" w:hAnsi="Times New Roman"/>
          <w:sz w:val="20"/>
          <w:szCs w:val="20"/>
        </w:rPr>
        <w:t> </w:t>
      </w:r>
      <w:r w:rsidRPr="00D55FD4">
        <w:rPr>
          <w:rFonts w:ascii="Times New Roman" w:hAnsi="Times New Roman"/>
          <w:sz w:val="20"/>
          <w:szCs w:val="20"/>
        </w:rPr>
        <w:t>mld</w:t>
      </w:r>
      <w:r>
        <w:rPr>
          <w:rFonts w:ascii="Times New Roman" w:hAnsi="Times New Roman"/>
          <w:sz w:val="20"/>
          <w:szCs w:val="20"/>
        </w:rPr>
        <w:t> </w:t>
      </w:r>
      <w:r w:rsidRPr="00D55FD4">
        <w:rPr>
          <w:rFonts w:ascii="Times New Roman" w:hAnsi="Times New Roman"/>
          <w:sz w:val="20"/>
          <w:szCs w:val="20"/>
        </w:rPr>
        <w:t>zł,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lastRenderedPageBreak/>
        <w:t>pomniejszenie potrzeb z tytułu dodatniego salda pozostałych przychodów i rozchodów (0,1 mld zł).</w:t>
      </w:r>
    </w:p>
    <w:p w:rsidR="00D55FD4" w:rsidRPr="00D55FD4" w:rsidRDefault="00D55FD4" w:rsidP="00C94F32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Wartość długu przypadającego do wykupu w omawianym okresie wyniosła wg kapitału 29,3 mld zł,</w:t>
      </w:r>
      <w:r w:rsidR="000C7804">
        <w:rPr>
          <w:rFonts w:ascii="Times New Roman" w:hAnsi="Times New Roman"/>
          <w:sz w:val="20"/>
          <w:szCs w:val="20"/>
        </w:rPr>
        <w:t xml:space="preserve"> w tym krajowego 25,0 mld zł, a </w:t>
      </w:r>
      <w:r w:rsidRPr="00D55FD4">
        <w:rPr>
          <w:rFonts w:ascii="Times New Roman" w:hAnsi="Times New Roman"/>
          <w:sz w:val="20"/>
          <w:szCs w:val="20"/>
        </w:rPr>
        <w:t xml:space="preserve">zagranicznego 4,4 mld zł. </w:t>
      </w:r>
      <w:r w:rsidRPr="00D55FD4">
        <w:rPr>
          <w:rFonts w:ascii="Times New Roman" w:hAnsi="Times New Roman"/>
          <w:b/>
          <w:sz w:val="20"/>
          <w:szCs w:val="20"/>
        </w:rPr>
        <w:t>Potrzeby pożyczkowe brutto</w:t>
      </w:r>
      <w:r w:rsidRPr="00D55FD4">
        <w:rPr>
          <w:rFonts w:ascii="Times New Roman" w:hAnsi="Times New Roman"/>
          <w:sz w:val="20"/>
          <w:szCs w:val="20"/>
        </w:rPr>
        <w:t>, tj. suma potrzeb netto i długu przypadającego do wykupu, wyniosły 66,0 mld zł. Po uwzględnieniu przedterminowych odkupów, wykup długu wyniósł 29,3 mld zł (w tym krajowego 24,9 mld zł  i zagranicznego 4,4 mld zł), dodatkowo wykupiono 6,4 mld zł krótkoterminowych bonów skarbowych.</w:t>
      </w:r>
    </w:p>
    <w:p w:rsidR="00D55FD4" w:rsidRPr="00D55FD4" w:rsidRDefault="00D55FD4" w:rsidP="00C94F32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W całym 2016 r. potrzeby pożyczkowe netto wyniosły 57,2 mld zł, wartość długu do wykupu 112,3 mld zł, zaś potrzeby pożyczkowe brutto ukształtowały się na poziomie 169,5 mld zł.</w:t>
      </w:r>
    </w:p>
    <w:p w:rsidR="00D55FD4" w:rsidRPr="00D55FD4" w:rsidRDefault="00D55FD4" w:rsidP="00C94F3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:rsidR="00D55FD4" w:rsidRPr="00D55FD4" w:rsidRDefault="00D55FD4" w:rsidP="00C94F32">
      <w:pPr>
        <w:numPr>
          <w:ilvl w:val="0"/>
          <w:numId w:val="40"/>
        </w:numPr>
        <w:autoSpaceDE w:val="0"/>
        <w:autoSpaceDN w:val="0"/>
        <w:adjustRightInd w:val="0"/>
        <w:spacing w:after="0" w:line="288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na rynku krajowym środki pozyskano z emisji: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obligacji hurtowych: 28,8 mld zł, a w całym 2016 r. 140,5 mld zł,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obligacji detalicznych: 1,5 mld zł, a w całym 2016 r. 4,6 mld zł,</w:t>
      </w:r>
    </w:p>
    <w:p w:rsidR="00D55FD4" w:rsidRPr="00D55FD4" w:rsidRDefault="00D55FD4" w:rsidP="00C94F32">
      <w:pPr>
        <w:numPr>
          <w:ilvl w:val="0"/>
          <w:numId w:val="40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/>
        <w:jc w:val="both"/>
        <w:rPr>
          <w:rFonts w:ascii="Times New Roman" w:hAnsi="Times New Roman" w:cs="Arial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n</w:t>
      </w:r>
      <w:r w:rsidRPr="00D55FD4">
        <w:rPr>
          <w:rFonts w:ascii="Times New Roman" w:hAnsi="Times New Roman" w:cs="Arial"/>
          <w:sz w:val="20"/>
          <w:szCs w:val="20"/>
        </w:rPr>
        <w:t xml:space="preserve">a rynkach </w:t>
      </w:r>
      <w:r w:rsidRPr="00D55FD4">
        <w:rPr>
          <w:rFonts w:ascii="Times New Roman" w:hAnsi="Times New Roman"/>
          <w:sz w:val="20"/>
          <w:szCs w:val="20"/>
        </w:rPr>
        <w:t>zagranicznych</w:t>
      </w:r>
      <w:r w:rsidRPr="00D55FD4">
        <w:rPr>
          <w:rFonts w:ascii="Times New Roman" w:hAnsi="Times New Roman" w:cs="Arial"/>
          <w:sz w:val="20"/>
          <w:szCs w:val="20"/>
        </w:rPr>
        <w:t xml:space="preserve"> środki pozyskano z:</w:t>
      </w:r>
    </w:p>
    <w:tbl>
      <w:tblPr>
        <w:tblpPr w:leftFromText="141" w:rightFromText="141" w:vertAnchor="text" w:horzAnchor="margin" w:tblpXSpec="right" w:tblpY="47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D55FD4" w:rsidRPr="00D55FD4" w:rsidTr="00AB3077">
        <w:trPr>
          <w:gridAfter w:val="1"/>
          <w:wAfter w:w="38" w:type="dxa"/>
          <w:trHeight w:val="611"/>
        </w:trPr>
        <w:tc>
          <w:tcPr>
            <w:tcW w:w="4515" w:type="dxa"/>
          </w:tcPr>
          <w:p w:rsidR="00D55FD4" w:rsidRPr="00D55FD4" w:rsidRDefault="00D55FD4" w:rsidP="00B07BA5">
            <w:pPr>
              <w:pStyle w:val="A1"/>
              <w:keepNext/>
              <w:spacing w:after="0" w:line="288" w:lineRule="auto"/>
              <w:ind w:firstLine="0"/>
              <w:jc w:val="left"/>
              <w:rPr>
                <w:bCs/>
                <w:sz w:val="18"/>
                <w:szCs w:val="18"/>
              </w:rPr>
            </w:pPr>
            <w:r w:rsidRPr="00B07BA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B07BA5" w:rsidRPr="00B07BA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7</w:t>
            </w:r>
            <w:r w:rsidRPr="00B07BA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Rentowności SPW – rynek wtórny</w:t>
            </w:r>
          </w:p>
        </w:tc>
      </w:tr>
      <w:tr w:rsidR="00D55FD4" w:rsidRPr="00D55FD4" w:rsidTr="00AB3077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:rsidR="00D55FD4" w:rsidRPr="00D55FD4" w:rsidRDefault="000404D4" w:rsidP="00C94F32">
            <w:pPr>
              <w:keepNext/>
              <w:spacing w:before="60" w:after="60" w:line="288" w:lineRule="auto"/>
              <w:ind w:left="-108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801620" cy="1982470"/>
                  <wp:effectExtent l="0" t="0" r="0" b="0"/>
                  <wp:docPr id="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620" cy="198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FD4" w:rsidRPr="00D55FD4" w:rsidTr="00AB3077">
        <w:trPr>
          <w:gridAfter w:val="1"/>
          <w:wAfter w:w="38" w:type="dxa"/>
          <w:trHeight w:val="144"/>
        </w:trPr>
        <w:tc>
          <w:tcPr>
            <w:tcW w:w="4515" w:type="dxa"/>
          </w:tcPr>
          <w:p w:rsidR="00D55FD4" w:rsidRPr="00D55FD4" w:rsidRDefault="00D55FD4" w:rsidP="00B07BA5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20"/>
                <w:szCs w:val="20"/>
                <w:highlight w:val="yellow"/>
                <w:lang w:eastAsia="pl-PL"/>
              </w:rPr>
            </w:pPr>
            <w:r w:rsidRPr="00B07BA5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 xml:space="preserve">emisji obligacji: 9,7 mld zł (2,2 mld EUR), </w:t>
      </w:r>
      <w:r w:rsidRPr="00D55FD4">
        <w:rPr>
          <w:rFonts w:ascii="Times New Roman" w:hAnsi="Times New Roman"/>
          <w:sz w:val="20"/>
          <w:szCs w:val="20"/>
        </w:rPr>
        <w:br/>
        <w:t xml:space="preserve">a w całym 2016 r. 28,7 mld zł (4,7 mld EUR, </w:t>
      </w:r>
      <w:r w:rsidRPr="00D55FD4">
        <w:rPr>
          <w:rFonts w:ascii="Times New Roman" w:hAnsi="Times New Roman"/>
          <w:sz w:val="20"/>
          <w:szCs w:val="20"/>
        </w:rPr>
        <w:br/>
        <w:t>1,7 mld USD i 3,0 mld CNY),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kredytów w międzynarodowych instytucjach finansowych</w:t>
      </w:r>
      <w:r w:rsidRPr="00D55FD4">
        <w:rPr>
          <w:rFonts w:ascii="Times New Roman" w:hAnsi="Times New Roman" w:cs="Arial"/>
          <w:sz w:val="20"/>
          <w:szCs w:val="20"/>
        </w:rPr>
        <w:t>: 4,2 mld zł (0,9 mld EUR)</w:t>
      </w:r>
      <w:r w:rsidRPr="00D55FD4">
        <w:rPr>
          <w:rFonts w:ascii="Times New Roman" w:hAnsi="Times New Roman"/>
          <w:sz w:val="20"/>
          <w:szCs w:val="20"/>
        </w:rPr>
        <w:t>, a w całym 2016 r. 4,2 mld zł (0,9 mld EUR).</w:t>
      </w:r>
    </w:p>
    <w:p w:rsidR="00D55FD4" w:rsidRPr="00D55FD4" w:rsidRDefault="00D55FD4" w:rsidP="00C94F32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W IV kw. 2016 r. nastąpił:</w:t>
      </w:r>
    </w:p>
    <w:p w:rsidR="00D55FD4" w:rsidRPr="00D55FD4" w:rsidRDefault="00D55FD4" w:rsidP="00C94F32">
      <w:pPr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D55FD4" w:rsidRPr="00D55FD4" w:rsidRDefault="00D55FD4" w:rsidP="00C94F32">
      <w:pPr>
        <w:spacing w:before="60"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 xml:space="preserve">spadek środków na rachunkach budżetowych o 26,4 mld zł do 39,7 mld zł, </w:t>
      </w:r>
    </w:p>
    <w:p w:rsidR="00D55FD4" w:rsidRPr="00D55FD4" w:rsidRDefault="00D55FD4" w:rsidP="00C94F32">
      <w:pPr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D55FD4" w:rsidRPr="00D55FD4" w:rsidRDefault="00D55FD4" w:rsidP="00C94F32">
      <w:pPr>
        <w:spacing w:before="60"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 xml:space="preserve">wzrost zadłużenia wobec banków o 10,7 mld zł, spadek wobec nierezydentów o 8,0 mld zł oraz wzrost wobec krajowego sektora </w:t>
      </w:r>
      <w:proofErr w:type="spellStart"/>
      <w:r w:rsidRPr="00D55FD4">
        <w:rPr>
          <w:rFonts w:ascii="Times New Roman" w:hAnsi="Times New Roman"/>
          <w:sz w:val="20"/>
          <w:szCs w:val="20"/>
        </w:rPr>
        <w:t>pozabankowego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 </w:t>
      </w:r>
      <w:r w:rsidRPr="00D55FD4">
        <w:rPr>
          <w:rFonts w:ascii="Times New Roman" w:hAnsi="Times New Roman"/>
          <w:sz w:val="20"/>
          <w:szCs w:val="20"/>
        </w:rPr>
        <w:br/>
        <w:t xml:space="preserve">o 4,4 mld zł, </w:t>
      </w:r>
    </w:p>
    <w:p w:rsidR="00D55FD4" w:rsidRPr="00D55FD4" w:rsidRDefault="00D55FD4" w:rsidP="00C94F32">
      <w:pPr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na rynku polskich obligacji: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na rynku krajowym: wzrost rentowności wzdłuż całej krzywej dochodowości - na koniec kwartału rentowności</w:t>
      </w:r>
      <w:r w:rsidRPr="00D55FD4" w:rsidDel="0064738C">
        <w:rPr>
          <w:rFonts w:ascii="Times New Roman" w:hAnsi="Times New Roman"/>
          <w:sz w:val="20"/>
          <w:szCs w:val="20"/>
        </w:rPr>
        <w:t xml:space="preserve"> </w:t>
      </w:r>
      <w:r w:rsidRPr="00D55FD4">
        <w:rPr>
          <w:rFonts w:ascii="Times New Roman" w:hAnsi="Times New Roman"/>
          <w:sz w:val="20"/>
          <w:szCs w:val="20"/>
        </w:rPr>
        <w:t xml:space="preserve">obligacji 2-, 5- i 10-letnich wyniosły odpowiednio 2,0% (+0,3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), 2,9% (+0,6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) oraz 3,7% (+0,7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>),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lastRenderedPageBreak/>
        <w:t>na rynku obligacji w euro: wzrost rentowności wzdłuż całej krzywej dochodowości: na koniec kwartału rentowności obligacji 2-, 5- i 10-letnich wyniosły odpowie</w:t>
      </w:r>
      <w:r w:rsidRPr="00D55FD4">
        <w:rPr>
          <w:rFonts w:ascii="Times New Roman" w:hAnsi="Times New Roman"/>
          <w:sz w:val="20"/>
          <w:szCs w:val="20"/>
        </w:rPr>
        <w:softHyphen/>
        <w:t xml:space="preserve">dnio 0,0% (+0,3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), 0,4% </w:t>
      </w:r>
      <w:r w:rsidRPr="00D55FD4">
        <w:rPr>
          <w:rFonts w:ascii="Times New Roman" w:hAnsi="Times New Roman"/>
          <w:sz w:val="20"/>
          <w:szCs w:val="20"/>
        </w:rPr>
        <w:br/>
        <w:t xml:space="preserve">(+0,3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) oraz 1,3% (+0,6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). </w:t>
      </w:r>
    </w:p>
    <w:p w:rsidR="00D55FD4" w:rsidRPr="00D55FD4" w:rsidRDefault="00D55FD4" w:rsidP="00C94F32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W całym 2016 r. nastąpił:</w:t>
      </w:r>
    </w:p>
    <w:p w:rsidR="00D55FD4" w:rsidRPr="00D55FD4" w:rsidRDefault="00D55FD4" w:rsidP="00C94F32">
      <w:pPr>
        <w:numPr>
          <w:ilvl w:val="0"/>
          <w:numId w:val="42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D55FD4" w:rsidRPr="00D55FD4" w:rsidRDefault="00D55FD4" w:rsidP="00C94F32">
      <w:pPr>
        <w:spacing w:before="60"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 xml:space="preserve">wzrost środków na rachunkach budżetowych </w:t>
      </w:r>
      <w:r w:rsidRPr="00D55FD4">
        <w:rPr>
          <w:rFonts w:ascii="Times New Roman" w:hAnsi="Times New Roman"/>
          <w:sz w:val="20"/>
          <w:szCs w:val="20"/>
        </w:rPr>
        <w:br/>
        <w:t xml:space="preserve">o 15,8 mld zł do 39,7 mld zł, </w:t>
      </w:r>
    </w:p>
    <w:p w:rsidR="00D55FD4" w:rsidRPr="00D55FD4" w:rsidRDefault="00D55FD4" w:rsidP="00C94F32">
      <w:pPr>
        <w:numPr>
          <w:ilvl w:val="0"/>
          <w:numId w:val="42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D55FD4" w:rsidRPr="00D55FD4" w:rsidRDefault="00D55FD4" w:rsidP="00C94F32">
      <w:pPr>
        <w:spacing w:before="60"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 xml:space="preserve">wzrost zadłużenia wobec banków o 64,0 mld zł, spadek wobec nierezydentów o 14,2 mld zł oraz wzrost wobec krajowego sektora </w:t>
      </w:r>
      <w:proofErr w:type="spellStart"/>
      <w:r w:rsidRPr="00D55FD4">
        <w:rPr>
          <w:rFonts w:ascii="Times New Roman" w:hAnsi="Times New Roman"/>
          <w:sz w:val="20"/>
          <w:szCs w:val="20"/>
        </w:rPr>
        <w:t>pozabankowego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 o 14,4 mld zł, </w:t>
      </w:r>
    </w:p>
    <w:p w:rsidR="00D55FD4" w:rsidRPr="00D55FD4" w:rsidRDefault="00D55FD4" w:rsidP="00C94F32">
      <w:pPr>
        <w:numPr>
          <w:ilvl w:val="0"/>
          <w:numId w:val="42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na rynku polskich obligacji: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 xml:space="preserve">na rynku krajowym: wzrost rentowności wzdłuż całej krzywej dochodowości - na koniec roku rentowności obligacji 2-, 5- i 10-letnich wyniosły odpowiednio 2,0% (+0,5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), 2,9% (+0,7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) oraz 3,7% (+0,7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>),</w:t>
      </w:r>
    </w:p>
    <w:p w:rsidR="00D55FD4" w:rsidRPr="00D55FD4" w:rsidRDefault="00D55FD4" w:rsidP="00C94F32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55FD4">
        <w:rPr>
          <w:rFonts w:ascii="Times New Roman" w:hAnsi="Times New Roman"/>
          <w:sz w:val="20"/>
          <w:szCs w:val="20"/>
        </w:rPr>
        <w:t>na rynku obligacji w euro: stabilizacja rentowności na krótkim końcu, osłabienie na środku i umocnienie na długim końcu krzywej dochodowości - na koniec roku rentowności obligacji 2-, 5- i 10-letnich wyniosły odpo</w:t>
      </w:r>
      <w:r w:rsidRPr="00D55FD4">
        <w:rPr>
          <w:rFonts w:ascii="Times New Roman" w:hAnsi="Times New Roman"/>
          <w:sz w:val="20"/>
          <w:szCs w:val="20"/>
        </w:rPr>
        <w:softHyphen/>
        <w:t>wie</w:t>
      </w:r>
      <w:r w:rsidRPr="00D55FD4">
        <w:rPr>
          <w:rFonts w:ascii="Times New Roman" w:hAnsi="Times New Roman"/>
          <w:sz w:val="20"/>
          <w:szCs w:val="20"/>
        </w:rPr>
        <w:softHyphen/>
        <w:t xml:space="preserve">dnio 0,0% (0,0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>), 0,4% (-0,1 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) oraz 1,3% (+0,1 </w:t>
      </w:r>
      <w:proofErr w:type="spellStart"/>
      <w:r w:rsidRPr="00D55FD4">
        <w:rPr>
          <w:rFonts w:ascii="Times New Roman" w:hAnsi="Times New Roman"/>
          <w:sz w:val="20"/>
          <w:szCs w:val="20"/>
        </w:rPr>
        <w:t>pp</w:t>
      </w:r>
      <w:proofErr w:type="spellEnd"/>
      <w:r w:rsidRPr="00D55FD4">
        <w:rPr>
          <w:rFonts w:ascii="Times New Roman" w:hAnsi="Times New Roman"/>
          <w:sz w:val="20"/>
          <w:szCs w:val="20"/>
        </w:rPr>
        <w:t xml:space="preserve">). </w:t>
      </w:r>
    </w:p>
    <w:p w:rsidR="00D84F5D" w:rsidRDefault="00D84F5D" w:rsidP="00EC0826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  <w:sectPr w:rsidR="00D84F5D" w:rsidSect="005725A7">
          <w:headerReference w:type="first" r:id="rId19"/>
          <w:pgSz w:w="11907" w:h="16839" w:code="9"/>
          <w:pgMar w:top="1701" w:right="992" w:bottom="1418" w:left="1134" w:header="709" w:footer="975" w:gutter="0"/>
          <w:cols w:num="2" w:space="709"/>
          <w:titlePg/>
          <w:docGrid w:linePitch="360"/>
        </w:sectPr>
      </w:pPr>
    </w:p>
    <w:p w:rsidR="003262D7" w:rsidRPr="003262D7" w:rsidRDefault="003262D7" w:rsidP="003262D7">
      <w:pPr>
        <w:pStyle w:val="Nagwek1"/>
        <w:spacing w:after="240"/>
        <w:rPr>
          <w:rFonts w:ascii="Arial" w:hAnsi="Arial" w:cs="Arial"/>
          <w:bCs w:val="0"/>
          <w:color w:val="E31837"/>
          <w:kern w:val="0"/>
          <w:sz w:val="28"/>
          <w:szCs w:val="28"/>
        </w:rPr>
      </w:pPr>
      <w:bookmarkStart w:id="15" w:name="_Toc484006840"/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lastRenderedPageBreak/>
        <w:t>NO</w:t>
      </w:r>
      <w:r w:rsidRPr="00D1237C">
        <w:rPr>
          <w:rFonts w:ascii="Arial" w:hAnsi="Arial" w:cs="Arial"/>
          <w:bCs w:val="0"/>
          <w:color w:val="E31837"/>
          <w:kern w:val="0"/>
          <w:sz w:val="28"/>
          <w:szCs w:val="28"/>
        </w:rPr>
        <w:t xml:space="preserve">TA </w:t>
      </w:r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METODYCZNA</w:t>
      </w:r>
      <w:bookmarkEnd w:id="15"/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</w:t>
      </w:r>
      <w:r>
        <w:rPr>
          <w:rFonts w:ascii="Arial" w:hAnsi="Arial" w:cs="Arial"/>
          <w:b/>
          <w:color w:val="ADAFB2"/>
          <w:sz w:val="20"/>
          <w:szCs w:val="20"/>
        </w:rPr>
        <w:t>ogią, tj. w układzie kasowym (z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pewnymi wyjątkami) i  zgodnie z definicjami przejętymi w Ustaw</w:t>
      </w:r>
      <w:r>
        <w:rPr>
          <w:rFonts w:ascii="Arial" w:hAnsi="Arial" w:cs="Arial"/>
          <w:b/>
          <w:color w:val="ADAFB2"/>
          <w:sz w:val="20"/>
          <w:szCs w:val="20"/>
        </w:rPr>
        <w:t>ie z dnia 27 sierpnia 2009 r. o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finansach publicznych (tekst jednolity Dz.U. z 2013 poz. 885 z późn. zm.):</w:t>
      </w:r>
    </w:p>
    <w:p w:rsidR="003262D7" w:rsidRPr="007837F6" w:rsidRDefault="00C41A02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0" w:history="1">
        <w:r w:rsidR="003262D7" w:rsidRPr="00C94AA6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:rsidR="003262D7" w:rsidRDefault="003262D7" w:rsidP="0097561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szczeblu centralnym prezentowane są w ujęciu kasowym oraz po eliminacji wewnętrznych przepływów. 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Więcej 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na: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  <w:hyperlink r:id="rId21" w:history="1">
        <w:r w:rsidRPr="00C94AA6">
          <w:rPr>
            <w:rStyle w:val="Hipercze"/>
            <w:rFonts w:ascii="Arial" w:hAnsi="Arial" w:cs="Arial"/>
            <w:b/>
            <w:sz w:val="20"/>
            <w:szCs w:val="20"/>
          </w:rPr>
          <w:t>http://www.mf.gov.pl/documents/764034/1002148/metodologia+wersja+polska2001.pdf</w:t>
        </w:r>
      </w:hyperlink>
    </w:p>
    <w:p w:rsidR="003262D7" w:rsidRPr="00D1237C" w:rsidRDefault="003262D7" w:rsidP="006652E2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zgodnie z Rozporządzeniem PE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</w:t>
      </w:r>
      <w:r>
        <w:rPr>
          <w:rFonts w:ascii="Arial" w:hAnsi="Arial" w:cs="Arial"/>
          <w:b/>
          <w:color w:val="ADAFB2"/>
          <w:sz w:val="20"/>
          <w:szCs w:val="20"/>
        </w:rPr>
        <w:t>są prezentowane, podobnie jak w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GFSM2001, po eliminacji wewnętrznych przepływów, jednak różnią się od danych GFSM2001 odmienną koncepcją rachunkową (są to dane memoriałowe, z pewnymi dostosowaniami) oraz odmienną klasyfikacją niektórych transakcji. Deficyt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sektora instytucji rządowych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samorządowych obliczony wedłu</w:t>
      </w:r>
      <w:r>
        <w:rPr>
          <w:rFonts w:ascii="Arial" w:hAnsi="Arial" w:cs="Arial"/>
          <w:b/>
          <w:color w:val="ADAFB2"/>
          <w:sz w:val="20"/>
          <w:szCs w:val="20"/>
        </w:rPr>
        <w:t>g zasad ESA2010 stanowi jeden 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elementów kryterium fiskaln</w:t>
      </w:r>
      <w:r w:rsidR="00A82C2A">
        <w:rPr>
          <w:rFonts w:ascii="Arial" w:hAnsi="Arial" w:cs="Arial"/>
          <w:b/>
          <w:color w:val="ADAFB2"/>
          <w:sz w:val="20"/>
          <w:szCs w:val="20"/>
        </w:rPr>
        <w:t xml:space="preserve">ego z </w:t>
      </w:r>
      <w:proofErr w:type="spellStart"/>
      <w:r w:rsidR="00A82C2A">
        <w:rPr>
          <w:rFonts w:ascii="Arial" w:hAnsi="Arial" w:cs="Arial"/>
          <w:b/>
          <w:color w:val="ADAFB2"/>
          <w:sz w:val="20"/>
          <w:szCs w:val="20"/>
        </w:rPr>
        <w:t>Maastricht</w:t>
      </w:r>
      <w:proofErr w:type="spellEnd"/>
      <w:r w:rsidR="00A82C2A">
        <w:rPr>
          <w:rFonts w:ascii="Arial" w:hAnsi="Arial" w:cs="Arial"/>
          <w:b/>
          <w:color w:val="ADAFB2"/>
          <w:sz w:val="20"/>
          <w:szCs w:val="20"/>
        </w:rPr>
        <w:t xml:space="preserve"> (drugim jest dł</w:t>
      </w:r>
      <w:r w:rsidRPr="007837F6">
        <w:rPr>
          <w:rFonts w:ascii="Arial" w:hAnsi="Arial" w:cs="Arial"/>
          <w:b/>
          <w:color w:val="ADAFB2"/>
          <w:sz w:val="20"/>
          <w:szCs w:val="20"/>
        </w:rPr>
        <w:t>ug tego sektora).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7837F6">
        <w:rPr>
          <w:rFonts w:ascii="Arial" w:hAnsi="Arial" w:cs="Arial"/>
          <w:b/>
          <w:color w:val="ADAFB2"/>
          <w:sz w:val="24"/>
          <w:szCs w:val="24"/>
        </w:rPr>
        <w:t>: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  <w:hyperlink r:id="rId22" w:history="1">
        <w:r w:rsidRPr="00442CC9">
          <w:rPr>
            <w:rStyle w:val="Hipercze"/>
            <w:rFonts w:ascii="Arial" w:hAnsi="Arial" w:cs="Arial"/>
            <w:b/>
            <w:sz w:val="20"/>
            <w:szCs w:val="20"/>
          </w:rPr>
          <w:t>http://stat.gov.pl/obszary-tematyczne/rachunki-narodowe/europejski-system-rachunkow-narodowych-i-regionalnych-esa-2010/rozporzadzenie-parlamentu-europejskiego-i-rady-ue-nr-5492013-z-dnia-21-maja-2013-r-,1,1.html</w:t>
        </w:r>
      </w:hyperlink>
      <w:r w:rsidRPr="007837F6">
        <w:rPr>
          <w:rFonts w:ascii="Arial" w:hAnsi="Arial" w:cs="Arial"/>
          <w:b/>
          <w:color w:val="ADAFB2"/>
          <w:sz w:val="20"/>
          <w:szCs w:val="20"/>
        </w:rPr>
        <w:t>.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Default="003262D7" w:rsidP="003262D7">
      <w:pPr>
        <w:widowControl w:val="0"/>
        <w:autoSpaceDE w:val="0"/>
        <w:autoSpaceDN w:val="0"/>
        <w:adjustRightInd w:val="0"/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804DD1" w:rsidRDefault="00804DD1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C2261E" w:rsidRDefault="000404D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9" name="Picture 0" descr="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E" w:rsidRDefault="00C2261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B6D6D" w:rsidRDefault="00EB6D6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5B7F4B" w:rsidRDefault="005B7F4B" w:rsidP="00A3676D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6" w:name="_Toc484006841"/>
      <w:r w:rsidRPr="00A3676D">
        <w:rPr>
          <w:rFonts w:ascii="Arial" w:hAnsi="Arial" w:cs="Arial"/>
          <w:color w:val="E31837"/>
          <w:sz w:val="40"/>
          <w:szCs w:val="40"/>
        </w:rPr>
        <w:t xml:space="preserve">ANEKS </w:t>
      </w:r>
      <w:r w:rsidR="00A3676D" w:rsidRPr="00A3676D">
        <w:rPr>
          <w:rFonts w:ascii="Arial" w:hAnsi="Arial" w:cs="Arial"/>
          <w:color w:val="E31837"/>
          <w:sz w:val="40"/>
          <w:szCs w:val="40"/>
        </w:rPr>
        <w:t xml:space="preserve"> </w:t>
      </w:r>
      <w:r w:rsidRPr="00A3676D">
        <w:rPr>
          <w:rFonts w:ascii="Arial" w:hAnsi="Arial" w:cs="Arial"/>
          <w:color w:val="E31837"/>
          <w:sz w:val="40"/>
          <w:szCs w:val="40"/>
        </w:rPr>
        <w:t>STATYSTYCZNY</w:t>
      </w:r>
      <w:bookmarkEnd w:id="16"/>
      <w:r w:rsidR="009F1CD8">
        <w:rPr>
          <w:rFonts w:ascii="Arial" w:hAnsi="Arial" w:cs="Arial"/>
          <w:color w:val="E31837"/>
          <w:sz w:val="40"/>
          <w:szCs w:val="40"/>
        </w:rPr>
        <w:t xml:space="preserve"> </w:t>
      </w:r>
      <w:r w:rsidR="00A10DA3">
        <w:rPr>
          <w:rFonts w:ascii="Arial" w:hAnsi="Arial" w:cs="Arial"/>
          <w:color w:val="E31837"/>
          <w:sz w:val="40"/>
          <w:szCs w:val="40"/>
        </w:rPr>
        <w:br/>
      </w:r>
    </w:p>
    <w:p w:rsidR="00E120D2" w:rsidRDefault="00E120D2" w:rsidP="00E120D2"/>
    <w:p w:rsidR="00E120D2" w:rsidRPr="00E120D2" w:rsidRDefault="00E120D2" w:rsidP="00E120D2"/>
    <w:p w:rsidR="00E120D2" w:rsidRPr="009567F0" w:rsidRDefault="00E120D2" w:rsidP="009567F0"/>
    <w:p w:rsidR="009567F0" w:rsidRDefault="009567F0" w:rsidP="009567F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D80F1C">
        <w:rPr>
          <w:rFonts w:ascii="Arial" w:hAnsi="Arial" w:cs="Arial"/>
          <w:b/>
          <w:color w:val="E31837"/>
          <w:sz w:val="28"/>
          <w:szCs w:val="28"/>
        </w:rPr>
        <w:t>SPIS T</w:t>
      </w:r>
      <w:r w:rsidR="009F1CD8">
        <w:rPr>
          <w:rFonts w:ascii="Arial" w:hAnsi="Arial" w:cs="Arial"/>
          <w:b/>
          <w:color w:val="E31837"/>
          <w:sz w:val="28"/>
          <w:szCs w:val="28"/>
        </w:rPr>
        <w:t>ABLIC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wskaźniki makroekonomiczne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ESA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2010) sektor instytucji rządowych i samorządowych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6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sprawozdawczości krajowej) budżet państwa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10</w:t>
      </w:r>
      <w:r w:rsidR="007910F9">
        <w:rPr>
          <w:rFonts w:ascii="Arial" w:hAnsi="Arial" w:cs="Arial"/>
          <w:b/>
          <w:color w:val="ADAFB2"/>
          <w:sz w:val="20"/>
          <w:szCs w:val="20"/>
        </w:rPr>
        <w:t>- 1</w:t>
      </w:r>
      <w:r w:rsidRPr="007910F9">
        <w:rPr>
          <w:rFonts w:ascii="Arial" w:hAnsi="Arial" w:cs="Arial"/>
          <w:b/>
          <w:color w:val="ADAFB2"/>
          <w:sz w:val="20"/>
          <w:szCs w:val="20"/>
        </w:rPr>
        <w:t>6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- Państwowe fundusze celowe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17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19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(wg. metodologii GFSM2001)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20-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21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Zadłużenie sektora instytucji rządowych i samorządowych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(wg. ESA 2010)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22-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23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Państwowy </w:t>
      </w:r>
      <w:r w:rsidR="00740A4E">
        <w:rPr>
          <w:rFonts w:ascii="Arial" w:hAnsi="Arial" w:cs="Arial"/>
          <w:b/>
          <w:color w:val="ADAFB2"/>
          <w:sz w:val="20"/>
          <w:szCs w:val="20"/>
        </w:rPr>
        <w:t>D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ług </w:t>
      </w:r>
      <w:r w:rsidR="00740A4E">
        <w:rPr>
          <w:rFonts w:ascii="Arial" w:hAnsi="Arial" w:cs="Arial"/>
          <w:b/>
          <w:color w:val="ADAFB2"/>
          <w:sz w:val="20"/>
          <w:szCs w:val="20"/>
        </w:rPr>
        <w:t>P</w:t>
      </w:r>
      <w:r w:rsidRPr="007910F9">
        <w:rPr>
          <w:rFonts w:ascii="Arial" w:hAnsi="Arial" w:cs="Arial"/>
          <w:b/>
          <w:color w:val="ADAFB2"/>
          <w:sz w:val="20"/>
          <w:szCs w:val="20"/>
        </w:rPr>
        <w:t>ubliczny</w:t>
      </w:r>
    </w:p>
    <w:p w:rsidR="009F1CD8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24-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25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</w:t>
      </w:r>
      <w:r w:rsidR="00740A4E">
        <w:rPr>
          <w:rFonts w:ascii="Arial" w:hAnsi="Arial" w:cs="Arial"/>
          <w:b/>
          <w:color w:val="ADAFB2"/>
          <w:sz w:val="20"/>
          <w:szCs w:val="20"/>
        </w:rPr>
        <w:t>Z</w:t>
      </w:r>
      <w:r w:rsidRPr="007910F9">
        <w:rPr>
          <w:rFonts w:ascii="Arial" w:hAnsi="Arial" w:cs="Arial"/>
          <w:b/>
          <w:color w:val="ADAFB2"/>
          <w:sz w:val="20"/>
          <w:szCs w:val="20"/>
        </w:rPr>
        <w:t>adłużenie Skarbu Państwa</w:t>
      </w:r>
    </w:p>
    <w:sectPr w:rsidR="009F1CD8" w:rsidRPr="007910F9" w:rsidSect="006B7502">
      <w:pgSz w:w="11907" w:h="16839" w:code="9"/>
      <w:pgMar w:top="1701" w:right="992" w:bottom="1418" w:left="1134" w:header="709" w:footer="975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02" w:rsidRDefault="00C41A02" w:rsidP="0015295C">
      <w:pPr>
        <w:spacing w:after="0" w:line="240" w:lineRule="auto"/>
      </w:pPr>
      <w:r>
        <w:separator/>
      </w:r>
    </w:p>
  </w:endnote>
  <w:endnote w:type="continuationSeparator" w:id="0">
    <w:p w:rsidR="00C41A02" w:rsidRDefault="00C41A02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F3" w:rsidRPr="005221F8" w:rsidRDefault="0044114E" w:rsidP="002529F3">
    <w:pPr>
      <w:pStyle w:val="Stopka"/>
      <w:rPr>
        <w:color w:val="ADAFB2"/>
      </w:rPr>
    </w:pPr>
    <w:r>
      <w:rPr>
        <w:color w:val="ADAFB2"/>
      </w:rPr>
      <w:t xml:space="preserve">Informacja kwartalna </w:t>
    </w:r>
    <w:r w:rsidR="002529F3" w:rsidRPr="005221F8">
      <w:rPr>
        <w:color w:val="ADAFB2"/>
      </w:rPr>
      <w:tab/>
    </w:r>
    <w:r w:rsidR="002529F3" w:rsidRPr="005221F8">
      <w:rPr>
        <w:color w:val="ADAFB2"/>
      </w:rPr>
      <w:tab/>
    </w:r>
    <w:r w:rsidR="002529F3" w:rsidRPr="005221F8">
      <w:rPr>
        <w:rStyle w:val="Numerstrony"/>
        <w:color w:val="ADAFB2"/>
      </w:rPr>
      <w:fldChar w:fldCharType="begin"/>
    </w:r>
    <w:r w:rsidR="002529F3" w:rsidRPr="005221F8">
      <w:rPr>
        <w:rStyle w:val="Numerstrony"/>
        <w:color w:val="ADAFB2"/>
      </w:rPr>
      <w:instrText xml:space="preserve"> PAGE </w:instrText>
    </w:r>
    <w:r w:rsidR="002529F3" w:rsidRPr="005221F8">
      <w:rPr>
        <w:rStyle w:val="Numerstrony"/>
        <w:color w:val="ADAFB2"/>
      </w:rPr>
      <w:fldChar w:fldCharType="separate"/>
    </w:r>
    <w:r w:rsidR="00621EC4">
      <w:rPr>
        <w:rStyle w:val="Numerstrony"/>
        <w:noProof/>
        <w:color w:val="ADAFB2"/>
      </w:rPr>
      <w:t>12</w:t>
    </w:r>
    <w:r w:rsidR="002529F3" w:rsidRPr="005221F8">
      <w:rPr>
        <w:rStyle w:val="Numerstrony"/>
        <w:color w:val="ADAFB2"/>
      </w:rPr>
      <w:fldChar w:fldCharType="end"/>
    </w:r>
  </w:p>
  <w:p w:rsidR="002529F3" w:rsidRPr="005221F8" w:rsidRDefault="002529F3" w:rsidP="002529F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7B0F5C">
      <w:rPr>
        <w:color w:val="ADAFB2"/>
      </w:rPr>
      <w:t>2</w:t>
    </w:r>
    <w:r w:rsidRPr="005221F8">
      <w:rPr>
        <w:color w:val="ADAFB2"/>
      </w:rPr>
      <w:t xml:space="preserve"> / 201</w:t>
    </w:r>
    <w:r w:rsidR="0036475D">
      <w:rPr>
        <w:color w:val="ADAFB2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60" w:rsidRDefault="00432960" w:rsidP="00D44B43">
    <w:pPr>
      <w:pStyle w:val="Stopka"/>
      <w:rPr>
        <w:color w:val="ADAFB2"/>
      </w:rPr>
    </w:pPr>
  </w:p>
  <w:p w:rsidR="0081680F" w:rsidRPr="005221F8" w:rsidRDefault="00607B5E" w:rsidP="00D44B43">
    <w:pPr>
      <w:pStyle w:val="Stopka"/>
      <w:rPr>
        <w:color w:val="ADAFB2"/>
      </w:rPr>
    </w:pPr>
    <w:r>
      <w:rPr>
        <w:color w:val="ADAFB2"/>
      </w:rPr>
      <w:t>Informacja kwartalna</w:t>
    </w:r>
    <w:r w:rsidR="0081680F" w:rsidRPr="005221F8">
      <w:rPr>
        <w:color w:val="ADAFB2"/>
      </w:rPr>
      <w:tab/>
    </w:r>
    <w:r w:rsidR="0081680F" w:rsidRPr="005221F8">
      <w:rPr>
        <w:color w:val="ADAFB2"/>
      </w:rPr>
      <w:tab/>
    </w:r>
    <w:r w:rsidR="0081680F" w:rsidRPr="005221F8">
      <w:rPr>
        <w:rStyle w:val="Numerstrony"/>
        <w:color w:val="ADAFB2"/>
      </w:rPr>
      <w:fldChar w:fldCharType="begin"/>
    </w:r>
    <w:r w:rsidR="0081680F" w:rsidRPr="005221F8">
      <w:rPr>
        <w:rStyle w:val="Numerstrony"/>
        <w:color w:val="ADAFB2"/>
      </w:rPr>
      <w:instrText xml:space="preserve"> PAGE </w:instrText>
    </w:r>
    <w:r w:rsidR="0081680F" w:rsidRPr="005221F8">
      <w:rPr>
        <w:rStyle w:val="Numerstrony"/>
        <w:color w:val="ADAFB2"/>
      </w:rPr>
      <w:fldChar w:fldCharType="separate"/>
    </w:r>
    <w:r w:rsidR="00621EC4">
      <w:rPr>
        <w:rStyle w:val="Numerstrony"/>
        <w:noProof/>
        <w:color w:val="ADAFB2"/>
      </w:rPr>
      <w:t>11</w:t>
    </w:r>
    <w:r w:rsidR="0081680F" w:rsidRPr="005221F8">
      <w:rPr>
        <w:rStyle w:val="Numerstrony"/>
        <w:color w:val="ADAFB2"/>
      </w:rPr>
      <w:fldChar w:fldCharType="end"/>
    </w:r>
  </w:p>
  <w:p w:rsidR="0081680F" w:rsidRPr="005221F8" w:rsidRDefault="0081680F" w:rsidP="00D44B4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7B0F5C">
      <w:rPr>
        <w:color w:val="ADAFB2"/>
      </w:rPr>
      <w:t>2</w:t>
    </w:r>
    <w:r w:rsidRPr="005221F8">
      <w:rPr>
        <w:color w:val="ADAFB2"/>
      </w:rPr>
      <w:t xml:space="preserve"> / 201</w:t>
    </w:r>
    <w:r w:rsidR="0036475D">
      <w:rPr>
        <w:color w:val="ADAFB2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02" w:rsidRDefault="00C41A02" w:rsidP="0015295C">
      <w:pPr>
        <w:spacing w:after="0" w:line="240" w:lineRule="auto"/>
      </w:pPr>
      <w:r>
        <w:separator/>
      </w:r>
    </w:p>
  </w:footnote>
  <w:footnote w:type="continuationSeparator" w:id="0">
    <w:p w:rsidR="00C41A02" w:rsidRDefault="00C41A02" w:rsidP="0015295C">
      <w:pPr>
        <w:spacing w:after="0" w:line="240" w:lineRule="auto"/>
      </w:pPr>
      <w:r>
        <w:continuationSeparator/>
      </w:r>
    </w:p>
  </w:footnote>
  <w:footnote w:id="1">
    <w:p w:rsidR="0095058D" w:rsidRDefault="0095058D" w:rsidP="0095058D">
      <w:pPr>
        <w:autoSpaceDE w:val="0"/>
        <w:autoSpaceDN w:val="0"/>
        <w:adjustRightInd w:val="0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425741">
        <w:rPr>
          <w:rFonts w:ascii="Times New Roman" w:eastAsia="Calibri" w:hAnsi="Times New Roman"/>
          <w:sz w:val="16"/>
          <w:szCs w:val="16"/>
          <w:lang w:eastAsia="pl-PL"/>
        </w:rPr>
        <w:t>Zgodnie z zasadami ESA2010 dla podatków wartość memoriałową</w:t>
      </w:r>
      <w:r>
        <w:rPr>
          <w:rFonts w:ascii="Times New Roman" w:eastAsia="Calibri" w:hAnsi="Times New Roman"/>
          <w:sz w:val="16"/>
          <w:szCs w:val="16"/>
          <w:lang w:eastAsia="pl-PL"/>
        </w:rPr>
        <w:t xml:space="preserve"> </w:t>
      </w:r>
      <w:r w:rsidRPr="00425741">
        <w:rPr>
          <w:rFonts w:ascii="Times New Roman" w:eastAsia="Calibri" w:hAnsi="Times New Roman"/>
          <w:sz w:val="16"/>
          <w:szCs w:val="16"/>
          <w:lang w:eastAsia="pl-PL"/>
        </w:rPr>
        <w:t>ustala się za pomocą miesięcznego przesunięcia czasowego</w:t>
      </w:r>
      <w:r>
        <w:rPr>
          <w:rFonts w:ascii="Times New Roman" w:eastAsia="Calibri" w:hAnsi="Times New Roman"/>
          <w:sz w:val="16"/>
          <w:szCs w:val="16"/>
          <w:lang w:eastAsia="pl-PL"/>
        </w:rPr>
        <w:t xml:space="preserve"> (np. dane dot. I kw. to suma wykonania w lutym, marcu i kwietniu).</w:t>
      </w:r>
    </w:p>
  </w:footnote>
  <w:footnote w:id="2">
    <w:p w:rsidR="00D55ED6" w:rsidRDefault="00D55ED6" w:rsidP="00D55E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62FB">
        <w:rPr>
          <w:rFonts w:ascii="Times New Roman" w:hAnsi="Times New Roman"/>
          <w:sz w:val="18"/>
          <w:szCs w:val="18"/>
        </w:rPr>
        <w:t>Not</w:t>
      </w:r>
      <w:r w:rsidR="00CD47A9">
        <w:rPr>
          <w:rFonts w:ascii="Times New Roman" w:hAnsi="Times New Roman"/>
          <w:sz w:val="18"/>
          <w:szCs w:val="18"/>
        </w:rPr>
        <w:t>yfikacja fiskalna, kwiecień 2017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0F" w:rsidRDefault="000404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12065" t="8255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" name="Picture 0" descr="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80F" w:rsidRPr="0029567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 w:rsidRPr="00D06614">
                            <w:rPr>
                              <w:rFonts w:ascii="Arial" w:eastAsia="+mn-ea" w:hAnsi="Arial" w:cs="Arial"/>
                              <w:color w:val="ADAFB2"/>
                              <w:kern w:val="24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00-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916 Warszawa</w:t>
                          </w:r>
                        </w:p>
                        <w:p w:rsidR="0081680F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5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36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30</w:t>
                          </w:r>
                        </w:p>
                        <w:p w:rsidR="0081680F" w:rsidRPr="00D06614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:rsidR="0081680F" w:rsidRPr="001F7BF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J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" filled="f" stroked="f">
              <v:textbox inset="0,0,0,0">
                <w:txbxContent>
                  <w:p w:rsidR="0081680F" w:rsidRPr="0029567C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 w:rsidRPr="00D06614">
                      <w:rPr>
                        <w:rFonts w:ascii="Arial" w:eastAsia="+mn-ea" w:hAnsi="Arial" w:cs="Arial"/>
                        <w:color w:val="ADAFB2"/>
                        <w:kern w:val="24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00-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916 Warszawa</w:t>
                    </w:r>
                  </w:p>
                  <w:p w:rsidR="0081680F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5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36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30</w:t>
                    </w:r>
                  </w:p>
                  <w:p w:rsidR="0081680F" w:rsidRPr="00D06614" w:rsidRDefault="0081680F" w:rsidP="005F187D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:rsidR="0081680F" w:rsidRPr="001F7BFC" w:rsidRDefault="0081680F" w:rsidP="005F187D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92" w:rsidRDefault="009F5E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2A83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F067D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6667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1AEE9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D3CB4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E80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88D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8E7C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442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F6D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360BA"/>
    <w:multiLevelType w:val="multilevel"/>
    <w:tmpl w:val="06BCC9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1">
    <w:nsid w:val="034817ED"/>
    <w:multiLevelType w:val="hybridMultilevel"/>
    <w:tmpl w:val="25382642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9544D8"/>
    <w:multiLevelType w:val="hybridMultilevel"/>
    <w:tmpl w:val="B170C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B30C7"/>
    <w:multiLevelType w:val="hybridMultilevel"/>
    <w:tmpl w:val="ED5EE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EE468E6"/>
    <w:multiLevelType w:val="hybridMultilevel"/>
    <w:tmpl w:val="A4A4D7EC"/>
    <w:lvl w:ilvl="0" w:tplc="04150001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15">
    <w:nsid w:val="0EF86A14"/>
    <w:multiLevelType w:val="hybridMultilevel"/>
    <w:tmpl w:val="81D4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8C411F"/>
    <w:multiLevelType w:val="hybridMultilevel"/>
    <w:tmpl w:val="BA223B7A"/>
    <w:lvl w:ilvl="0" w:tplc="20F0D774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3C07212"/>
    <w:multiLevelType w:val="hybridMultilevel"/>
    <w:tmpl w:val="EBEC7434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1A15103"/>
    <w:multiLevelType w:val="hybridMultilevel"/>
    <w:tmpl w:val="6E30A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1B85978"/>
    <w:multiLevelType w:val="hybridMultilevel"/>
    <w:tmpl w:val="2216E6AE"/>
    <w:lvl w:ilvl="0" w:tplc="A33220A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F726DC"/>
    <w:multiLevelType w:val="hybridMultilevel"/>
    <w:tmpl w:val="F156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FA33D4"/>
    <w:multiLevelType w:val="hybridMultilevel"/>
    <w:tmpl w:val="04382162"/>
    <w:lvl w:ilvl="0" w:tplc="4468B50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60E29A1"/>
    <w:multiLevelType w:val="hybridMultilevel"/>
    <w:tmpl w:val="99887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A20451D"/>
    <w:multiLevelType w:val="hybridMultilevel"/>
    <w:tmpl w:val="BC848348"/>
    <w:lvl w:ilvl="0" w:tplc="BA5CE7C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101814"/>
    <w:multiLevelType w:val="hybridMultilevel"/>
    <w:tmpl w:val="FCCA7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7E79C1"/>
    <w:multiLevelType w:val="hybridMultilevel"/>
    <w:tmpl w:val="7EF270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>
    <w:nsid w:val="2EF820E7"/>
    <w:multiLevelType w:val="hybridMultilevel"/>
    <w:tmpl w:val="033C7E8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A981DF8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E5876A7"/>
    <w:multiLevelType w:val="hybridMultilevel"/>
    <w:tmpl w:val="7BACF0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EE40127"/>
    <w:multiLevelType w:val="hybridMultilevel"/>
    <w:tmpl w:val="B1EC3C44"/>
    <w:lvl w:ilvl="0" w:tplc="C1C8B98C">
      <w:start w:val="1"/>
      <w:numFmt w:val="bullet"/>
      <w:lvlText w:val="-"/>
      <w:lvlJc w:val="left"/>
      <w:pPr>
        <w:tabs>
          <w:tab w:val="num" w:pos="1579"/>
        </w:tabs>
        <w:ind w:left="1602" w:hanging="36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33">
    <w:nsid w:val="4F9E2836"/>
    <w:multiLevelType w:val="hybridMultilevel"/>
    <w:tmpl w:val="B45CA4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FB38FB"/>
    <w:multiLevelType w:val="hybridMultilevel"/>
    <w:tmpl w:val="761C7E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D37613"/>
    <w:multiLevelType w:val="multilevel"/>
    <w:tmpl w:val="8466E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C12587C"/>
    <w:multiLevelType w:val="hybridMultilevel"/>
    <w:tmpl w:val="C6BED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6A032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C6A06094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64E13"/>
    <w:multiLevelType w:val="hybridMultilevel"/>
    <w:tmpl w:val="2EB084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894A70"/>
    <w:multiLevelType w:val="hybridMultilevel"/>
    <w:tmpl w:val="767CF18C"/>
    <w:lvl w:ilvl="0" w:tplc="E1D41D6E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D503EB"/>
    <w:multiLevelType w:val="hybridMultilevel"/>
    <w:tmpl w:val="0800306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>
    <w:nsid w:val="68FE1985"/>
    <w:multiLevelType w:val="hybridMultilevel"/>
    <w:tmpl w:val="6E58B9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14792"/>
    <w:multiLevelType w:val="hybridMultilevel"/>
    <w:tmpl w:val="B172EA76"/>
    <w:lvl w:ilvl="0" w:tplc="04150001">
      <w:start w:val="1"/>
      <w:numFmt w:val="bullet"/>
      <w:lvlText w:val=""/>
      <w:lvlJc w:val="left"/>
      <w:pPr>
        <w:ind w:left="89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6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3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1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8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5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2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9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703" w:hanging="360"/>
      </w:pPr>
      <w:rPr>
        <w:rFonts w:ascii="Wingdings" w:hAnsi="Wingdings" w:hint="default"/>
      </w:rPr>
    </w:lvl>
  </w:abstractNum>
  <w:abstractNum w:abstractNumId="42">
    <w:nsid w:val="6EA75C46"/>
    <w:multiLevelType w:val="hybridMultilevel"/>
    <w:tmpl w:val="537049D6"/>
    <w:lvl w:ilvl="0" w:tplc="04150017">
      <w:start w:val="1"/>
      <w:numFmt w:val="lowerLetter"/>
      <w:lvlText w:val="%1)"/>
      <w:lvlJc w:val="left"/>
      <w:pPr>
        <w:ind w:left="4980" w:hanging="360"/>
      </w:pPr>
    </w:lvl>
    <w:lvl w:ilvl="1" w:tplc="04150019">
      <w:start w:val="1"/>
      <w:numFmt w:val="lowerLetter"/>
      <w:lvlText w:val="%2."/>
      <w:lvlJc w:val="left"/>
      <w:pPr>
        <w:ind w:left="5700" w:hanging="360"/>
      </w:pPr>
    </w:lvl>
    <w:lvl w:ilvl="2" w:tplc="0415001B">
      <w:start w:val="1"/>
      <w:numFmt w:val="lowerRoman"/>
      <w:lvlText w:val="%3."/>
      <w:lvlJc w:val="right"/>
      <w:pPr>
        <w:ind w:left="6420" w:hanging="180"/>
      </w:pPr>
    </w:lvl>
    <w:lvl w:ilvl="3" w:tplc="0415000F" w:tentative="1">
      <w:start w:val="1"/>
      <w:numFmt w:val="decimal"/>
      <w:lvlText w:val="%4."/>
      <w:lvlJc w:val="left"/>
      <w:pPr>
        <w:ind w:left="7140" w:hanging="360"/>
      </w:pPr>
    </w:lvl>
    <w:lvl w:ilvl="4" w:tplc="04150019" w:tentative="1">
      <w:start w:val="1"/>
      <w:numFmt w:val="lowerLetter"/>
      <w:lvlText w:val="%5."/>
      <w:lvlJc w:val="left"/>
      <w:pPr>
        <w:ind w:left="7860" w:hanging="360"/>
      </w:pPr>
    </w:lvl>
    <w:lvl w:ilvl="5" w:tplc="0415001B" w:tentative="1">
      <w:start w:val="1"/>
      <w:numFmt w:val="lowerRoman"/>
      <w:lvlText w:val="%6."/>
      <w:lvlJc w:val="right"/>
      <w:pPr>
        <w:ind w:left="8580" w:hanging="180"/>
      </w:pPr>
    </w:lvl>
    <w:lvl w:ilvl="6" w:tplc="0415000F" w:tentative="1">
      <w:start w:val="1"/>
      <w:numFmt w:val="decimal"/>
      <w:lvlText w:val="%7."/>
      <w:lvlJc w:val="left"/>
      <w:pPr>
        <w:ind w:left="9300" w:hanging="360"/>
      </w:pPr>
    </w:lvl>
    <w:lvl w:ilvl="7" w:tplc="04150019" w:tentative="1">
      <w:start w:val="1"/>
      <w:numFmt w:val="lowerLetter"/>
      <w:lvlText w:val="%8."/>
      <w:lvlJc w:val="left"/>
      <w:pPr>
        <w:ind w:left="10020" w:hanging="360"/>
      </w:pPr>
    </w:lvl>
    <w:lvl w:ilvl="8" w:tplc="041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43">
    <w:nsid w:val="74302F31"/>
    <w:multiLevelType w:val="hybridMultilevel"/>
    <w:tmpl w:val="3A22B80C"/>
    <w:lvl w:ilvl="0" w:tplc="E1D09ADC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BD1DCA"/>
    <w:multiLevelType w:val="hybridMultilevel"/>
    <w:tmpl w:val="015A5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932B4"/>
    <w:multiLevelType w:val="multilevel"/>
    <w:tmpl w:val="2216E6AE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6042A2"/>
    <w:multiLevelType w:val="hybridMultilevel"/>
    <w:tmpl w:val="05667DB2"/>
    <w:lvl w:ilvl="0" w:tplc="A5A2C38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8F4124"/>
    <w:multiLevelType w:val="hybridMultilevel"/>
    <w:tmpl w:val="927402A8"/>
    <w:lvl w:ilvl="0" w:tplc="BAA83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0"/>
  </w:num>
  <w:num w:numId="4">
    <w:abstractNumId w:val="33"/>
  </w:num>
  <w:num w:numId="5">
    <w:abstractNumId w:val="46"/>
  </w:num>
  <w:num w:numId="6">
    <w:abstractNumId w:val="37"/>
  </w:num>
  <w:num w:numId="7">
    <w:abstractNumId w:val="14"/>
  </w:num>
  <w:num w:numId="8">
    <w:abstractNumId w:val="45"/>
  </w:num>
  <w:num w:numId="9">
    <w:abstractNumId w:val="3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6"/>
  </w:num>
  <w:num w:numId="21">
    <w:abstractNumId w:val="32"/>
  </w:num>
  <w:num w:numId="22">
    <w:abstractNumId w:val="43"/>
  </w:num>
  <w:num w:numId="23">
    <w:abstractNumId w:val="46"/>
  </w:num>
  <w:num w:numId="24">
    <w:abstractNumId w:val="19"/>
  </w:num>
  <w:num w:numId="25">
    <w:abstractNumId w:val="35"/>
  </w:num>
  <w:num w:numId="26">
    <w:abstractNumId w:val="10"/>
  </w:num>
  <w:num w:numId="27">
    <w:abstractNumId w:val="38"/>
  </w:num>
  <w:num w:numId="28">
    <w:abstractNumId w:val="13"/>
  </w:num>
  <w:num w:numId="29">
    <w:abstractNumId w:val="26"/>
  </w:num>
  <w:num w:numId="30">
    <w:abstractNumId w:val="31"/>
  </w:num>
  <w:num w:numId="31">
    <w:abstractNumId w:val="15"/>
  </w:num>
  <w:num w:numId="32">
    <w:abstractNumId w:val="47"/>
  </w:num>
  <w:num w:numId="33">
    <w:abstractNumId w:val="24"/>
  </w:num>
  <w:num w:numId="34">
    <w:abstractNumId w:val="17"/>
  </w:num>
  <w:num w:numId="35">
    <w:abstractNumId w:val="28"/>
  </w:num>
  <w:num w:numId="36">
    <w:abstractNumId w:val="11"/>
  </w:num>
  <w:num w:numId="37">
    <w:abstractNumId w:val="39"/>
  </w:num>
  <w:num w:numId="38">
    <w:abstractNumId w:val="22"/>
  </w:num>
  <w:num w:numId="39">
    <w:abstractNumId w:val="42"/>
  </w:num>
  <w:num w:numId="40">
    <w:abstractNumId w:val="21"/>
  </w:num>
  <w:num w:numId="41">
    <w:abstractNumId w:val="18"/>
  </w:num>
  <w:num w:numId="42">
    <w:abstractNumId w:val="30"/>
  </w:num>
  <w:num w:numId="43">
    <w:abstractNumId w:val="36"/>
  </w:num>
  <w:num w:numId="44">
    <w:abstractNumId w:val="41"/>
  </w:num>
  <w:num w:numId="45">
    <w:abstractNumId w:val="44"/>
  </w:num>
  <w:num w:numId="46">
    <w:abstractNumId w:val="27"/>
  </w:num>
  <w:num w:numId="47">
    <w:abstractNumId w:val="12"/>
  </w:num>
  <w:num w:numId="48">
    <w:abstractNumId w:val="4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1"/>
    <w:rsid w:val="00000507"/>
    <w:rsid w:val="00000B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7561"/>
    <w:rsid w:val="00030A43"/>
    <w:rsid w:val="000404D4"/>
    <w:rsid w:val="000406B8"/>
    <w:rsid w:val="00042F8F"/>
    <w:rsid w:val="0004308B"/>
    <w:rsid w:val="00044E4A"/>
    <w:rsid w:val="00045CA7"/>
    <w:rsid w:val="00050E88"/>
    <w:rsid w:val="00051F46"/>
    <w:rsid w:val="00054C08"/>
    <w:rsid w:val="00057D54"/>
    <w:rsid w:val="0006107D"/>
    <w:rsid w:val="000642F2"/>
    <w:rsid w:val="00065052"/>
    <w:rsid w:val="00065FD9"/>
    <w:rsid w:val="00066997"/>
    <w:rsid w:val="00066C79"/>
    <w:rsid w:val="00067514"/>
    <w:rsid w:val="000715CD"/>
    <w:rsid w:val="00072C84"/>
    <w:rsid w:val="00073A5B"/>
    <w:rsid w:val="00073D49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4812"/>
    <w:rsid w:val="000B534A"/>
    <w:rsid w:val="000B570F"/>
    <w:rsid w:val="000C08CF"/>
    <w:rsid w:val="000C6ADA"/>
    <w:rsid w:val="000C7804"/>
    <w:rsid w:val="000C79AA"/>
    <w:rsid w:val="000D0CB3"/>
    <w:rsid w:val="000D1F2D"/>
    <w:rsid w:val="000D3BDA"/>
    <w:rsid w:val="000D41EB"/>
    <w:rsid w:val="000D4A40"/>
    <w:rsid w:val="000D62FC"/>
    <w:rsid w:val="000D6B6F"/>
    <w:rsid w:val="000E16EF"/>
    <w:rsid w:val="000E4111"/>
    <w:rsid w:val="000E691C"/>
    <w:rsid w:val="000E6C86"/>
    <w:rsid w:val="000F07EE"/>
    <w:rsid w:val="000F1858"/>
    <w:rsid w:val="000F194D"/>
    <w:rsid w:val="000F1AC9"/>
    <w:rsid w:val="000F1B21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5A96"/>
    <w:rsid w:val="00127D06"/>
    <w:rsid w:val="00130371"/>
    <w:rsid w:val="00130D8A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2BDE"/>
    <w:rsid w:val="00144B16"/>
    <w:rsid w:val="00147DCE"/>
    <w:rsid w:val="0015152D"/>
    <w:rsid w:val="0015295C"/>
    <w:rsid w:val="0015452B"/>
    <w:rsid w:val="00155BEC"/>
    <w:rsid w:val="00157279"/>
    <w:rsid w:val="00162265"/>
    <w:rsid w:val="00162356"/>
    <w:rsid w:val="00162480"/>
    <w:rsid w:val="001642FC"/>
    <w:rsid w:val="00165075"/>
    <w:rsid w:val="001676EF"/>
    <w:rsid w:val="00176E8C"/>
    <w:rsid w:val="00184FD0"/>
    <w:rsid w:val="0018746D"/>
    <w:rsid w:val="00190CD4"/>
    <w:rsid w:val="00191353"/>
    <w:rsid w:val="00191422"/>
    <w:rsid w:val="00193793"/>
    <w:rsid w:val="00193C91"/>
    <w:rsid w:val="001A0B08"/>
    <w:rsid w:val="001A112E"/>
    <w:rsid w:val="001A38F9"/>
    <w:rsid w:val="001A4D91"/>
    <w:rsid w:val="001A4F79"/>
    <w:rsid w:val="001A55F7"/>
    <w:rsid w:val="001B31A2"/>
    <w:rsid w:val="001C13AB"/>
    <w:rsid w:val="001C2702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4DA9"/>
    <w:rsid w:val="001D71D6"/>
    <w:rsid w:val="001E29EE"/>
    <w:rsid w:val="001E2E27"/>
    <w:rsid w:val="001E45F8"/>
    <w:rsid w:val="001E6DAF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A42"/>
    <w:rsid w:val="00216C9E"/>
    <w:rsid w:val="002170A8"/>
    <w:rsid w:val="00217D67"/>
    <w:rsid w:val="00217DDE"/>
    <w:rsid w:val="00224B34"/>
    <w:rsid w:val="00224FBD"/>
    <w:rsid w:val="0022526B"/>
    <w:rsid w:val="00225E4E"/>
    <w:rsid w:val="00230793"/>
    <w:rsid w:val="002312B6"/>
    <w:rsid w:val="00235554"/>
    <w:rsid w:val="00236D89"/>
    <w:rsid w:val="00241B7D"/>
    <w:rsid w:val="00241D40"/>
    <w:rsid w:val="00242355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6236"/>
    <w:rsid w:val="00266998"/>
    <w:rsid w:val="00270342"/>
    <w:rsid w:val="00270388"/>
    <w:rsid w:val="00272CC6"/>
    <w:rsid w:val="00276799"/>
    <w:rsid w:val="00280EF7"/>
    <w:rsid w:val="0028194A"/>
    <w:rsid w:val="002826C7"/>
    <w:rsid w:val="002863AE"/>
    <w:rsid w:val="002874B7"/>
    <w:rsid w:val="002903F3"/>
    <w:rsid w:val="00292DA1"/>
    <w:rsid w:val="00293690"/>
    <w:rsid w:val="002A17A6"/>
    <w:rsid w:val="002A1BD0"/>
    <w:rsid w:val="002A1FE9"/>
    <w:rsid w:val="002A20F0"/>
    <w:rsid w:val="002A5765"/>
    <w:rsid w:val="002B0128"/>
    <w:rsid w:val="002B447C"/>
    <w:rsid w:val="002C5142"/>
    <w:rsid w:val="002D42B8"/>
    <w:rsid w:val="002D5495"/>
    <w:rsid w:val="002D591E"/>
    <w:rsid w:val="002D6C49"/>
    <w:rsid w:val="002E066A"/>
    <w:rsid w:val="002E22EC"/>
    <w:rsid w:val="002E28B5"/>
    <w:rsid w:val="002E4402"/>
    <w:rsid w:val="002E5227"/>
    <w:rsid w:val="002E559D"/>
    <w:rsid w:val="002F0668"/>
    <w:rsid w:val="002F06D1"/>
    <w:rsid w:val="002F2D38"/>
    <w:rsid w:val="002F5252"/>
    <w:rsid w:val="002F699C"/>
    <w:rsid w:val="002F7C5D"/>
    <w:rsid w:val="00300147"/>
    <w:rsid w:val="0030155A"/>
    <w:rsid w:val="00304AEF"/>
    <w:rsid w:val="00305BC7"/>
    <w:rsid w:val="00306D0A"/>
    <w:rsid w:val="0031062E"/>
    <w:rsid w:val="00310ED7"/>
    <w:rsid w:val="00311967"/>
    <w:rsid w:val="00311BD1"/>
    <w:rsid w:val="00313D06"/>
    <w:rsid w:val="00314CB3"/>
    <w:rsid w:val="00314F49"/>
    <w:rsid w:val="003154A4"/>
    <w:rsid w:val="00317E50"/>
    <w:rsid w:val="00320C1F"/>
    <w:rsid w:val="003217BB"/>
    <w:rsid w:val="00321E3C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5BEA"/>
    <w:rsid w:val="003474DF"/>
    <w:rsid w:val="00353CE8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46B1"/>
    <w:rsid w:val="00384F40"/>
    <w:rsid w:val="00386304"/>
    <w:rsid w:val="00390CE0"/>
    <w:rsid w:val="0039302F"/>
    <w:rsid w:val="00393A9E"/>
    <w:rsid w:val="00394091"/>
    <w:rsid w:val="00396DDA"/>
    <w:rsid w:val="003A416F"/>
    <w:rsid w:val="003A4E3C"/>
    <w:rsid w:val="003A5602"/>
    <w:rsid w:val="003A6FCB"/>
    <w:rsid w:val="003B09B7"/>
    <w:rsid w:val="003B10AA"/>
    <w:rsid w:val="003B22AD"/>
    <w:rsid w:val="003B2E14"/>
    <w:rsid w:val="003B40C9"/>
    <w:rsid w:val="003B51B2"/>
    <w:rsid w:val="003B5764"/>
    <w:rsid w:val="003B6576"/>
    <w:rsid w:val="003B71F9"/>
    <w:rsid w:val="003C31F6"/>
    <w:rsid w:val="003C4503"/>
    <w:rsid w:val="003C488E"/>
    <w:rsid w:val="003D5AAE"/>
    <w:rsid w:val="003E0424"/>
    <w:rsid w:val="003E06E4"/>
    <w:rsid w:val="003E2F7D"/>
    <w:rsid w:val="003E4579"/>
    <w:rsid w:val="003E49CA"/>
    <w:rsid w:val="003E667E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4014E6"/>
    <w:rsid w:val="00402A9D"/>
    <w:rsid w:val="004047C7"/>
    <w:rsid w:val="004102FE"/>
    <w:rsid w:val="00410A00"/>
    <w:rsid w:val="004123BE"/>
    <w:rsid w:val="004133A0"/>
    <w:rsid w:val="004140D1"/>
    <w:rsid w:val="00415A43"/>
    <w:rsid w:val="00416147"/>
    <w:rsid w:val="00417276"/>
    <w:rsid w:val="00421EA8"/>
    <w:rsid w:val="00424BBE"/>
    <w:rsid w:val="00424C36"/>
    <w:rsid w:val="00424EBB"/>
    <w:rsid w:val="00425741"/>
    <w:rsid w:val="00425D5D"/>
    <w:rsid w:val="004270E2"/>
    <w:rsid w:val="00427386"/>
    <w:rsid w:val="004300E2"/>
    <w:rsid w:val="00432960"/>
    <w:rsid w:val="00433755"/>
    <w:rsid w:val="0043411D"/>
    <w:rsid w:val="0043694A"/>
    <w:rsid w:val="00437D9D"/>
    <w:rsid w:val="0044114E"/>
    <w:rsid w:val="00442FB0"/>
    <w:rsid w:val="00443694"/>
    <w:rsid w:val="004440B1"/>
    <w:rsid w:val="00444EA8"/>
    <w:rsid w:val="00445E65"/>
    <w:rsid w:val="0044706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76AC"/>
    <w:rsid w:val="00492D38"/>
    <w:rsid w:val="00494650"/>
    <w:rsid w:val="004948E9"/>
    <w:rsid w:val="00494DAC"/>
    <w:rsid w:val="00495B22"/>
    <w:rsid w:val="004A2492"/>
    <w:rsid w:val="004A2D95"/>
    <w:rsid w:val="004A62DC"/>
    <w:rsid w:val="004B0528"/>
    <w:rsid w:val="004B1EE6"/>
    <w:rsid w:val="004B6E66"/>
    <w:rsid w:val="004C0C17"/>
    <w:rsid w:val="004C512A"/>
    <w:rsid w:val="004C66BB"/>
    <w:rsid w:val="004D1C88"/>
    <w:rsid w:val="004D21FA"/>
    <w:rsid w:val="004D2522"/>
    <w:rsid w:val="004D32B7"/>
    <w:rsid w:val="004D7F46"/>
    <w:rsid w:val="004E295E"/>
    <w:rsid w:val="004E489A"/>
    <w:rsid w:val="004E5617"/>
    <w:rsid w:val="004E73FD"/>
    <w:rsid w:val="004F0998"/>
    <w:rsid w:val="004F2624"/>
    <w:rsid w:val="004F39F6"/>
    <w:rsid w:val="004F479F"/>
    <w:rsid w:val="004F731B"/>
    <w:rsid w:val="005004B1"/>
    <w:rsid w:val="005004E9"/>
    <w:rsid w:val="00500EB3"/>
    <w:rsid w:val="00500EF4"/>
    <w:rsid w:val="005010AD"/>
    <w:rsid w:val="0050312A"/>
    <w:rsid w:val="00506046"/>
    <w:rsid w:val="0050739B"/>
    <w:rsid w:val="00507ADE"/>
    <w:rsid w:val="00510B6B"/>
    <w:rsid w:val="0051284B"/>
    <w:rsid w:val="00513A65"/>
    <w:rsid w:val="005155AA"/>
    <w:rsid w:val="00515DB5"/>
    <w:rsid w:val="005173F5"/>
    <w:rsid w:val="005221F8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3638"/>
    <w:rsid w:val="00557D81"/>
    <w:rsid w:val="00560286"/>
    <w:rsid w:val="00562706"/>
    <w:rsid w:val="00565AAB"/>
    <w:rsid w:val="005725A7"/>
    <w:rsid w:val="00572C60"/>
    <w:rsid w:val="0057379B"/>
    <w:rsid w:val="005744A2"/>
    <w:rsid w:val="005769ED"/>
    <w:rsid w:val="005774A8"/>
    <w:rsid w:val="0058060A"/>
    <w:rsid w:val="005838A1"/>
    <w:rsid w:val="00584641"/>
    <w:rsid w:val="00584C19"/>
    <w:rsid w:val="005873F6"/>
    <w:rsid w:val="00590384"/>
    <w:rsid w:val="00591DFE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F4C"/>
    <w:rsid w:val="005C5661"/>
    <w:rsid w:val="005C68EB"/>
    <w:rsid w:val="005C6B6D"/>
    <w:rsid w:val="005D1A4A"/>
    <w:rsid w:val="005D5990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6005ED"/>
    <w:rsid w:val="006069CE"/>
    <w:rsid w:val="00607B5E"/>
    <w:rsid w:val="00610ECB"/>
    <w:rsid w:val="00612DF6"/>
    <w:rsid w:val="00614E93"/>
    <w:rsid w:val="0061552C"/>
    <w:rsid w:val="00620756"/>
    <w:rsid w:val="00621EC4"/>
    <w:rsid w:val="0062777B"/>
    <w:rsid w:val="00631CD6"/>
    <w:rsid w:val="00631D74"/>
    <w:rsid w:val="00633D6F"/>
    <w:rsid w:val="006361DB"/>
    <w:rsid w:val="00641436"/>
    <w:rsid w:val="00643AF9"/>
    <w:rsid w:val="00644A61"/>
    <w:rsid w:val="00651167"/>
    <w:rsid w:val="00651D03"/>
    <w:rsid w:val="00653269"/>
    <w:rsid w:val="00654326"/>
    <w:rsid w:val="0065494E"/>
    <w:rsid w:val="00654E61"/>
    <w:rsid w:val="00656A63"/>
    <w:rsid w:val="006611F2"/>
    <w:rsid w:val="00662E32"/>
    <w:rsid w:val="006642F6"/>
    <w:rsid w:val="006652E2"/>
    <w:rsid w:val="00665B00"/>
    <w:rsid w:val="006670F5"/>
    <w:rsid w:val="00673265"/>
    <w:rsid w:val="006759B5"/>
    <w:rsid w:val="00675FFE"/>
    <w:rsid w:val="00677B76"/>
    <w:rsid w:val="00680242"/>
    <w:rsid w:val="00682D29"/>
    <w:rsid w:val="0068356D"/>
    <w:rsid w:val="00683E79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6AF0"/>
    <w:rsid w:val="006A71E5"/>
    <w:rsid w:val="006B35CC"/>
    <w:rsid w:val="006B5E18"/>
    <w:rsid w:val="006B7502"/>
    <w:rsid w:val="006C3F06"/>
    <w:rsid w:val="006C434D"/>
    <w:rsid w:val="006C49AC"/>
    <w:rsid w:val="006C6176"/>
    <w:rsid w:val="006C6E18"/>
    <w:rsid w:val="006C7700"/>
    <w:rsid w:val="006C79F7"/>
    <w:rsid w:val="006C7A30"/>
    <w:rsid w:val="006D07C9"/>
    <w:rsid w:val="006D274C"/>
    <w:rsid w:val="006D51BD"/>
    <w:rsid w:val="006D6CAE"/>
    <w:rsid w:val="006D7D89"/>
    <w:rsid w:val="006D7FF1"/>
    <w:rsid w:val="006E2E0C"/>
    <w:rsid w:val="006F06DD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11160"/>
    <w:rsid w:val="00711F88"/>
    <w:rsid w:val="007121EB"/>
    <w:rsid w:val="007142E6"/>
    <w:rsid w:val="00714640"/>
    <w:rsid w:val="007159A6"/>
    <w:rsid w:val="00716A5D"/>
    <w:rsid w:val="00722913"/>
    <w:rsid w:val="0072464B"/>
    <w:rsid w:val="007260DD"/>
    <w:rsid w:val="00726233"/>
    <w:rsid w:val="007262FB"/>
    <w:rsid w:val="00730D3C"/>
    <w:rsid w:val="00732846"/>
    <w:rsid w:val="007332A3"/>
    <w:rsid w:val="00734EC9"/>
    <w:rsid w:val="00736726"/>
    <w:rsid w:val="00737ED4"/>
    <w:rsid w:val="00740A4E"/>
    <w:rsid w:val="0074640B"/>
    <w:rsid w:val="00747E6D"/>
    <w:rsid w:val="00750FC7"/>
    <w:rsid w:val="0075115D"/>
    <w:rsid w:val="0075285E"/>
    <w:rsid w:val="00753A40"/>
    <w:rsid w:val="007541BF"/>
    <w:rsid w:val="00755FDE"/>
    <w:rsid w:val="007560A0"/>
    <w:rsid w:val="00756139"/>
    <w:rsid w:val="00757169"/>
    <w:rsid w:val="007611F3"/>
    <w:rsid w:val="007629A8"/>
    <w:rsid w:val="00764406"/>
    <w:rsid w:val="00764CCF"/>
    <w:rsid w:val="00767277"/>
    <w:rsid w:val="007705EA"/>
    <w:rsid w:val="00771493"/>
    <w:rsid w:val="007732CA"/>
    <w:rsid w:val="007732CE"/>
    <w:rsid w:val="00775296"/>
    <w:rsid w:val="00775A72"/>
    <w:rsid w:val="007767BA"/>
    <w:rsid w:val="00782638"/>
    <w:rsid w:val="00782658"/>
    <w:rsid w:val="007837F6"/>
    <w:rsid w:val="00785584"/>
    <w:rsid w:val="0078558B"/>
    <w:rsid w:val="0078593E"/>
    <w:rsid w:val="00785B37"/>
    <w:rsid w:val="00786DE7"/>
    <w:rsid w:val="007910F9"/>
    <w:rsid w:val="007941D0"/>
    <w:rsid w:val="00794873"/>
    <w:rsid w:val="007959AC"/>
    <w:rsid w:val="007A1D9D"/>
    <w:rsid w:val="007A2F5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D049D"/>
    <w:rsid w:val="007D2ADA"/>
    <w:rsid w:val="007D6761"/>
    <w:rsid w:val="007E02D0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21D"/>
    <w:rsid w:val="007F4A88"/>
    <w:rsid w:val="007F50A4"/>
    <w:rsid w:val="007F6EB0"/>
    <w:rsid w:val="007F78EA"/>
    <w:rsid w:val="008047C8"/>
    <w:rsid w:val="00804B52"/>
    <w:rsid w:val="00804DD1"/>
    <w:rsid w:val="00805778"/>
    <w:rsid w:val="008067D3"/>
    <w:rsid w:val="00807122"/>
    <w:rsid w:val="008101FD"/>
    <w:rsid w:val="00811495"/>
    <w:rsid w:val="0081215C"/>
    <w:rsid w:val="00813C75"/>
    <w:rsid w:val="008153A3"/>
    <w:rsid w:val="0081572C"/>
    <w:rsid w:val="008158AE"/>
    <w:rsid w:val="00816311"/>
    <w:rsid w:val="0081680F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A9"/>
    <w:rsid w:val="00855D53"/>
    <w:rsid w:val="00855F2C"/>
    <w:rsid w:val="0085795C"/>
    <w:rsid w:val="00860700"/>
    <w:rsid w:val="008617C4"/>
    <w:rsid w:val="00863181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2A6C"/>
    <w:rsid w:val="0089478B"/>
    <w:rsid w:val="00896847"/>
    <w:rsid w:val="008A0C1C"/>
    <w:rsid w:val="008A0FB4"/>
    <w:rsid w:val="008A29E8"/>
    <w:rsid w:val="008A58E9"/>
    <w:rsid w:val="008B2226"/>
    <w:rsid w:val="008B32C9"/>
    <w:rsid w:val="008B3B46"/>
    <w:rsid w:val="008B591C"/>
    <w:rsid w:val="008C4018"/>
    <w:rsid w:val="008C5034"/>
    <w:rsid w:val="008C63BB"/>
    <w:rsid w:val="008C68B0"/>
    <w:rsid w:val="008C6D2E"/>
    <w:rsid w:val="008D3305"/>
    <w:rsid w:val="008D3C3A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11000"/>
    <w:rsid w:val="00912D67"/>
    <w:rsid w:val="009133B7"/>
    <w:rsid w:val="009166CE"/>
    <w:rsid w:val="00921E5F"/>
    <w:rsid w:val="00937FFB"/>
    <w:rsid w:val="00944C34"/>
    <w:rsid w:val="0094645D"/>
    <w:rsid w:val="0095058D"/>
    <w:rsid w:val="00952DDD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2047"/>
    <w:rsid w:val="00972EAF"/>
    <w:rsid w:val="00973D15"/>
    <w:rsid w:val="00974A86"/>
    <w:rsid w:val="00975613"/>
    <w:rsid w:val="00981401"/>
    <w:rsid w:val="009846E2"/>
    <w:rsid w:val="00985984"/>
    <w:rsid w:val="00991E4A"/>
    <w:rsid w:val="00993608"/>
    <w:rsid w:val="00994606"/>
    <w:rsid w:val="009963D1"/>
    <w:rsid w:val="009969E2"/>
    <w:rsid w:val="00996FFA"/>
    <w:rsid w:val="0099783D"/>
    <w:rsid w:val="009A2407"/>
    <w:rsid w:val="009A4B72"/>
    <w:rsid w:val="009A53CF"/>
    <w:rsid w:val="009A5F05"/>
    <w:rsid w:val="009B1ACF"/>
    <w:rsid w:val="009B5309"/>
    <w:rsid w:val="009C1604"/>
    <w:rsid w:val="009C3AFB"/>
    <w:rsid w:val="009C7706"/>
    <w:rsid w:val="009C7A74"/>
    <w:rsid w:val="009D0144"/>
    <w:rsid w:val="009D070C"/>
    <w:rsid w:val="009D0BFE"/>
    <w:rsid w:val="009D282C"/>
    <w:rsid w:val="009D2F37"/>
    <w:rsid w:val="009D3D43"/>
    <w:rsid w:val="009D4E91"/>
    <w:rsid w:val="009D57DB"/>
    <w:rsid w:val="009D6445"/>
    <w:rsid w:val="009D6FCC"/>
    <w:rsid w:val="009D7690"/>
    <w:rsid w:val="009D7E4F"/>
    <w:rsid w:val="009E157D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79B0"/>
    <w:rsid w:val="00A17E6B"/>
    <w:rsid w:val="00A20405"/>
    <w:rsid w:val="00A20953"/>
    <w:rsid w:val="00A217A2"/>
    <w:rsid w:val="00A240EA"/>
    <w:rsid w:val="00A2480F"/>
    <w:rsid w:val="00A25459"/>
    <w:rsid w:val="00A25CC8"/>
    <w:rsid w:val="00A3142C"/>
    <w:rsid w:val="00A35169"/>
    <w:rsid w:val="00A3593D"/>
    <w:rsid w:val="00A3676D"/>
    <w:rsid w:val="00A371AB"/>
    <w:rsid w:val="00A37669"/>
    <w:rsid w:val="00A40153"/>
    <w:rsid w:val="00A43C11"/>
    <w:rsid w:val="00A45DCC"/>
    <w:rsid w:val="00A46899"/>
    <w:rsid w:val="00A5223F"/>
    <w:rsid w:val="00A52E00"/>
    <w:rsid w:val="00A65128"/>
    <w:rsid w:val="00A670FA"/>
    <w:rsid w:val="00A67D59"/>
    <w:rsid w:val="00A70075"/>
    <w:rsid w:val="00A700BC"/>
    <w:rsid w:val="00A707CD"/>
    <w:rsid w:val="00A70EE2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90534"/>
    <w:rsid w:val="00A90E6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6BC5"/>
    <w:rsid w:val="00AC6BFF"/>
    <w:rsid w:val="00AC70AF"/>
    <w:rsid w:val="00AD1EC0"/>
    <w:rsid w:val="00AD1FD7"/>
    <w:rsid w:val="00AD3640"/>
    <w:rsid w:val="00AD4143"/>
    <w:rsid w:val="00AD5305"/>
    <w:rsid w:val="00AD6455"/>
    <w:rsid w:val="00AD740C"/>
    <w:rsid w:val="00AE031C"/>
    <w:rsid w:val="00AE24F3"/>
    <w:rsid w:val="00AE30A8"/>
    <w:rsid w:val="00AE457B"/>
    <w:rsid w:val="00AE56DD"/>
    <w:rsid w:val="00AE6020"/>
    <w:rsid w:val="00AE637C"/>
    <w:rsid w:val="00AF4E30"/>
    <w:rsid w:val="00AF5A1C"/>
    <w:rsid w:val="00AF6608"/>
    <w:rsid w:val="00AF78B3"/>
    <w:rsid w:val="00B01B95"/>
    <w:rsid w:val="00B0297B"/>
    <w:rsid w:val="00B0329E"/>
    <w:rsid w:val="00B03A5A"/>
    <w:rsid w:val="00B03B2E"/>
    <w:rsid w:val="00B0737B"/>
    <w:rsid w:val="00B07BA5"/>
    <w:rsid w:val="00B11EF6"/>
    <w:rsid w:val="00B124AF"/>
    <w:rsid w:val="00B15516"/>
    <w:rsid w:val="00B237A1"/>
    <w:rsid w:val="00B2606E"/>
    <w:rsid w:val="00B26F9F"/>
    <w:rsid w:val="00B32381"/>
    <w:rsid w:val="00B346FD"/>
    <w:rsid w:val="00B3471B"/>
    <w:rsid w:val="00B355FA"/>
    <w:rsid w:val="00B3757A"/>
    <w:rsid w:val="00B426D0"/>
    <w:rsid w:val="00B43A47"/>
    <w:rsid w:val="00B46E4D"/>
    <w:rsid w:val="00B52806"/>
    <w:rsid w:val="00B53616"/>
    <w:rsid w:val="00B53FB7"/>
    <w:rsid w:val="00B56D8F"/>
    <w:rsid w:val="00B61E9E"/>
    <w:rsid w:val="00B63E77"/>
    <w:rsid w:val="00B646BD"/>
    <w:rsid w:val="00B652B6"/>
    <w:rsid w:val="00B6680F"/>
    <w:rsid w:val="00B70CC9"/>
    <w:rsid w:val="00B7510E"/>
    <w:rsid w:val="00B80E07"/>
    <w:rsid w:val="00B81609"/>
    <w:rsid w:val="00B83D13"/>
    <w:rsid w:val="00B84874"/>
    <w:rsid w:val="00B84B57"/>
    <w:rsid w:val="00B84FA1"/>
    <w:rsid w:val="00B877E6"/>
    <w:rsid w:val="00B87801"/>
    <w:rsid w:val="00B87F47"/>
    <w:rsid w:val="00B91BF1"/>
    <w:rsid w:val="00B9273E"/>
    <w:rsid w:val="00B970AD"/>
    <w:rsid w:val="00BA19D4"/>
    <w:rsid w:val="00BA55EE"/>
    <w:rsid w:val="00BA5B2E"/>
    <w:rsid w:val="00BA66D7"/>
    <w:rsid w:val="00BA6FBD"/>
    <w:rsid w:val="00BB029E"/>
    <w:rsid w:val="00BB1ACD"/>
    <w:rsid w:val="00BB5B1E"/>
    <w:rsid w:val="00BB71B8"/>
    <w:rsid w:val="00BC27D4"/>
    <w:rsid w:val="00BC2882"/>
    <w:rsid w:val="00BC4CB2"/>
    <w:rsid w:val="00BC5828"/>
    <w:rsid w:val="00BC6594"/>
    <w:rsid w:val="00BD0D82"/>
    <w:rsid w:val="00BD0FEE"/>
    <w:rsid w:val="00BD1ABC"/>
    <w:rsid w:val="00BD3CB9"/>
    <w:rsid w:val="00BD4B23"/>
    <w:rsid w:val="00BD567B"/>
    <w:rsid w:val="00BE1DBD"/>
    <w:rsid w:val="00BE7486"/>
    <w:rsid w:val="00BE77B2"/>
    <w:rsid w:val="00BF2A24"/>
    <w:rsid w:val="00BF2C0F"/>
    <w:rsid w:val="00BF2C94"/>
    <w:rsid w:val="00BF3921"/>
    <w:rsid w:val="00BF6B4A"/>
    <w:rsid w:val="00BF757A"/>
    <w:rsid w:val="00BF763B"/>
    <w:rsid w:val="00BF7773"/>
    <w:rsid w:val="00C0186B"/>
    <w:rsid w:val="00C02371"/>
    <w:rsid w:val="00C027FF"/>
    <w:rsid w:val="00C04D29"/>
    <w:rsid w:val="00C04D6E"/>
    <w:rsid w:val="00C04FFA"/>
    <w:rsid w:val="00C057D7"/>
    <w:rsid w:val="00C0696A"/>
    <w:rsid w:val="00C102A9"/>
    <w:rsid w:val="00C11498"/>
    <w:rsid w:val="00C1170E"/>
    <w:rsid w:val="00C13459"/>
    <w:rsid w:val="00C135CF"/>
    <w:rsid w:val="00C14905"/>
    <w:rsid w:val="00C1541D"/>
    <w:rsid w:val="00C1617A"/>
    <w:rsid w:val="00C169CF"/>
    <w:rsid w:val="00C17DC6"/>
    <w:rsid w:val="00C20AB2"/>
    <w:rsid w:val="00C2261E"/>
    <w:rsid w:val="00C23366"/>
    <w:rsid w:val="00C23751"/>
    <w:rsid w:val="00C2516C"/>
    <w:rsid w:val="00C2517F"/>
    <w:rsid w:val="00C254EE"/>
    <w:rsid w:val="00C32080"/>
    <w:rsid w:val="00C3419F"/>
    <w:rsid w:val="00C36052"/>
    <w:rsid w:val="00C36B9D"/>
    <w:rsid w:val="00C3704D"/>
    <w:rsid w:val="00C400D6"/>
    <w:rsid w:val="00C41924"/>
    <w:rsid w:val="00C41A02"/>
    <w:rsid w:val="00C43A87"/>
    <w:rsid w:val="00C44D15"/>
    <w:rsid w:val="00C44D44"/>
    <w:rsid w:val="00C462DF"/>
    <w:rsid w:val="00C47439"/>
    <w:rsid w:val="00C50DB3"/>
    <w:rsid w:val="00C53F72"/>
    <w:rsid w:val="00C56083"/>
    <w:rsid w:val="00C56BD7"/>
    <w:rsid w:val="00C56DD6"/>
    <w:rsid w:val="00C61B95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1E04"/>
    <w:rsid w:val="00C729F3"/>
    <w:rsid w:val="00C73890"/>
    <w:rsid w:val="00C77036"/>
    <w:rsid w:val="00C8256B"/>
    <w:rsid w:val="00C83D04"/>
    <w:rsid w:val="00C83F98"/>
    <w:rsid w:val="00C842B8"/>
    <w:rsid w:val="00C87D16"/>
    <w:rsid w:val="00C91F52"/>
    <w:rsid w:val="00C9308B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33F5"/>
    <w:rsid w:val="00CA4029"/>
    <w:rsid w:val="00CA659E"/>
    <w:rsid w:val="00CA71EE"/>
    <w:rsid w:val="00CA781A"/>
    <w:rsid w:val="00CB00FD"/>
    <w:rsid w:val="00CB46DF"/>
    <w:rsid w:val="00CB6175"/>
    <w:rsid w:val="00CB70EE"/>
    <w:rsid w:val="00CB78F0"/>
    <w:rsid w:val="00CC11D9"/>
    <w:rsid w:val="00CC190C"/>
    <w:rsid w:val="00CC227E"/>
    <w:rsid w:val="00CC355D"/>
    <w:rsid w:val="00CC405C"/>
    <w:rsid w:val="00CC7282"/>
    <w:rsid w:val="00CC7A51"/>
    <w:rsid w:val="00CD0CF4"/>
    <w:rsid w:val="00CD1347"/>
    <w:rsid w:val="00CD357E"/>
    <w:rsid w:val="00CD3B50"/>
    <w:rsid w:val="00CD47A9"/>
    <w:rsid w:val="00CD4F02"/>
    <w:rsid w:val="00CD61FE"/>
    <w:rsid w:val="00CE0C4C"/>
    <w:rsid w:val="00CE2A87"/>
    <w:rsid w:val="00CE2FE0"/>
    <w:rsid w:val="00CE3E3D"/>
    <w:rsid w:val="00CE4AD9"/>
    <w:rsid w:val="00CE5844"/>
    <w:rsid w:val="00CE6DBA"/>
    <w:rsid w:val="00CF090C"/>
    <w:rsid w:val="00CF0ACB"/>
    <w:rsid w:val="00CF108A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1237C"/>
    <w:rsid w:val="00D12950"/>
    <w:rsid w:val="00D12F0B"/>
    <w:rsid w:val="00D130B1"/>
    <w:rsid w:val="00D145DB"/>
    <w:rsid w:val="00D159EE"/>
    <w:rsid w:val="00D20DC4"/>
    <w:rsid w:val="00D21DB7"/>
    <w:rsid w:val="00D24079"/>
    <w:rsid w:val="00D277C0"/>
    <w:rsid w:val="00D27E95"/>
    <w:rsid w:val="00D31A84"/>
    <w:rsid w:val="00D33E09"/>
    <w:rsid w:val="00D400CC"/>
    <w:rsid w:val="00D42C00"/>
    <w:rsid w:val="00D4337F"/>
    <w:rsid w:val="00D43CC5"/>
    <w:rsid w:val="00D44B43"/>
    <w:rsid w:val="00D46960"/>
    <w:rsid w:val="00D474DD"/>
    <w:rsid w:val="00D52942"/>
    <w:rsid w:val="00D5306A"/>
    <w:rsid w:val="00D55ED6"/>
    <w:rsid w:val="00D55FD4"/>
    <w:rsid w:val="00D571A2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7324"/>
    <w:rsid w:val="00D80F1C"/>
    <w:rsid w:val="00D8162F"/>
    <w:rsid w:val="00D81996"/>
    <w:rsid w:val="00D833B2"/>
    <w:rsid w:val="00D84F5D"/>
    <w:rsid w:val="00D86E1F"/>
    <w:rsid w:val="00D903E7"/>
    <w:rsid w:val="00D90AA3"/>
    <w:rsid w:val="00D91A53"/>
    <w:rsid w:val="00DA28B2"/>
    <w:rsid w:val="00DA52B8"/>
    <w:rsid w:val="00DA6577"/>
    <w:rsid w:val="00DA6BB2"/>
    <w:rsid w:val="00DB1992"/>
    <w:rsid w:val="00DB2008"/>
    <w:rsid w:val="00DB7B31"/>
    <w:rsid w:val="00DC22C5"/>
    <w:rsid w:val="00DC247F"/>
    <w:rsid w:val="00DC346E"/>
    <w:rsid w:val="00DC4030"/>
    <w:rsid w:val="00DC53D0"/>
    <w:rsid w:val="00DC5F86"/>
    <w:rsid w:val="00DD0702"/>
    <w:rsid w:val="00DD0F06"/>
    <w:rsid w:val="00DD3215"/>
    <w:rsid w:val="00DD3527"/>
    <w:rsid w:val="00DD4693"/>
    <w:rsid w:val="00DD5191"/>
    <w:rsid w:val="00DD6DDE"/>
    <w:rsid w:val="00DD7309"/>
    <w:rsid w:val="00DE1745"/>
    <w:rsid w:val="00DE5957"/>
    <w:rsid w:val="00DE638C"/>
    <w:rsid w:val="00DE715B"/>
    <w:rsid w:val="00DF31AE"/>
    <w:rsid w:val="00DF3655"/>
    <w:rsid w:val="00E02682"/>
    <w:rsid w:val="00E0439F"/>
    <w:rsid w:val="00E05345"/>
    <w:rsid w:val="00E0691F"/>
    <w:rsid w:val="00E0710D"/>
    <w:rsid w:val="00E1196E"/>
    <w:rsid w:val="00E120D2"/>
    <w:rsid w:val="00E144C3"/>
    <w:rsid w:val="00E154D7"/>
    <w:rsid w:val="00E16007"/>
    <w:rsid w:val="00E16073"/>
    <w:rsid w:val="00E16C5E"/>
    <w:rsid w:val="00E210E5"/>
    <w:rsid w:val="00E22B5B"/>
    <w:rsid w:val="00E2609F"/>
    <w:rsid w:val="00E30E0B"/>
    <w:rsid w:val="00E31053"/>
    <w:rsid w:val="00E361C1"/>
    <w:rsid w:val="00E3721F"/>
    <w:rsid w:val="00E4081B"/>
    <w:rsid w:val="00E41826"/>
    <w:rsid w:val="00E42F73"/>
    <w:rsid w:val="00E4455D"/>
    <w:rsid w:val="00E449F8"/>
    <w:rsid w:val="00E451E9"/>
    <w:rsid w:val="00E452DB"/>
    <w:rsid w:val="00E45DA5"/>
    <w:rsid w:val="00E54688"/>
    <w:rsid w:val="00E64CDB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5B6"/>
    <w:rsid w:val="00E81997"/>
    <w:rsid w:val="00E81E8E"/>
    <w:rsid w:val="00E8424E"/>
    <w:rsid w:val="00E846A5"/>
    <w:rsid w:val="00E84D42"/>
    <w:rsid w:val="00E86C32"/>
    <w:rsid w:val="00E873CB"/>
    <w:rsid w:val="00E877D1"/>
    <w:rsid w:val="00E92219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485D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E25"/>
    <w:rsid w:val="00EF223A"/>
    <w:rsid w:val="00EF3946"/>
    <w:rsid w:val="00EF4CFA"/>
    <w:rsid w:val="00EF6620"/>
    <w:rsid w:val="00F0001C"/>
    <w:rsid w:val="00F064B4"/>
    <w:rsid w:val="00F06B6B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F64"/>
    <w:rsid w:val="00F23F20"/>
    <w:rsid w:val="00F2547F"/>
    <w:rsid w:val="00F277BE"/>
    <w:rsid w:val="00F278FC"/>
    <w:rsid w:val="00F30E4D"/>
    <w:rsid w:val="00F31AC4"/>
    <w:rsid w:val="00F337B3"/>
    <w:rsid w:val="00F35EA0"/>
    <w:rsid w:val="00F400FA"/>
    <w:rsid w:val="00F413DD"/>
    <w:rsid w:val="00F43FB5"/>
    <w:rsid w:val="00F4547B"/>
    <w:rsid w:val="00F47859"/>
    <w:rsid w:val="00F51545"/>
    <w:rsid w:val="00F522D2"/>
    <w:rsid w:val="00F60497"/>
    <w:rsid w:val="00F60B82"/>
    <w:rsid w:val="00F60D96"/>
    <w:rsid w:val="00F62A4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E2F"/>
    <w:rsid w:val="00F74FD4"/>
    <w:rsid w:val="00F772D5"/>
    <w:rsid w:val="00F77622"/>
    <w:rsid w:val="00F830B1"/>
    <w:rsid w:val="00F84B6D"/>
    <w:rsid w:val="00F86A5E"/>
    <w:rsid w:val="00F875B7"/>
    <w:rsid w:val="00F930FF"/>
    <w:rsid w:val="00F956D6"/>
    <w:rsid w:val="00F95D71"/>
    <w:rsid w:val="00F97FF8"/>
    <w:rsid w:val="00FA071F"/>
    <w:rsid w:val="00FA202B"/>
    <w:rsid w:val="00FA2435"/>
    <w:rsid w:val="00FA3283"/>
    <w:rsid w:val="00FA516F"/>
    <w:rsid w:val="00FB12E6"/>
    <w:rsid w:val="00FB1768"/>
    <w:rsid w:val="00FB1E1A"/>
    <w:rsid w:val="00FB393F"/>
    <w:rsid w:val="00FB74A2"/>
    <w:rsid w:val="00FC32AF"/>
    <w:rsid w:val="00FC3B1E"/>
    <w:rsid w:val="00FC661E"/>
    <w:rsid w:val="00FC7A92"/>
    <w:rsid w:val="00FD21F5"/>
    <w:rsid w:val="00FD2BB0"/>
    <w:rsid w:val="00FD38D7"/>
    <w:rsid w:val="00FD5526"/>
    <w:rsid w:val="00FD5FE0"/>
    <w:rsid w:val="00FE2512"/>
    <w:rsid w:val="00FE3620"/>
    <w:rsid w:val="00FE435B"/>
    <w:rsid w:val="00FE5161"/>
    <w:rsid w:val="00FE55F2"/>
    <w:rsid w:val="00FF103C"/>
    <w:rsid w:val="00FF133B"/>
    <w:rsid w:val="00FF1D27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mf.gov.pl/documents/764034/1002148/metodologia+wersja+polska2001.pd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isap.sejm.gov.pl/DetailsServlet?id=WDU2009157124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hyperlink" Target="http://stat.gov.pl/obszary-tematyczne/rachunki-narodowe/europejski-system-rachunkow-narodowych-i-regionalnych-esa-2010/rozporzadzenie-parlamentu-europejskiego-i-rady-ue-nr-5492013-z-dnia-21-maja-2013-r-,1,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N-AIZ\Pulpit\MF%20okladka%20raportu%20B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2935-6320-4B7B-B594-65F50817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 okladka raportu B.dot</Template>
  <TotalTime>0</TotalTime>
  <Pages>12</Pages>
  <Words>3716</Words>
  <Characters>22298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</vt:lpstr>
    </vt:vector>
  </TitlesOfParts>
  <Company>1177</Company>
  <LinksUpToDate>false</LinksUpToDate>
  <CharactersWithSpaces>25963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</dc:title>
  <dc:creator>Agnieszka Izdebska</dc:creator>
  <cp:lastModifiedBy>Błaszczyk Monika</cp:lastModifiedBy>
  <cp:revision>2</cp:revision>
  <cp:lastPrinted>2017-05-31T13:48:00Z</cp:lastPrinted>
  <dcterms:created xsi:type="dcterms:W3CDTF">2017-08-18T09:11:00Z</dcterms:created>
  <dcterms:modified xsi:type="dcterms:W3CDTF">2017-08-18T09:11:00Z</dcterms:modified>
</cp:coreProperties>
</file>